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
        <w:rPr>
          <w:rFonts w:ascii="Calibri" w:eastAsia="Calibri" w:hAnsi="Calibri" w:cs="Times New Roman"/>
          <w:noProof/>
        </w:rPr>
        <w:drawing>
          <wp:inline distT="0" distB="0" distL="0" distR="0">
            <wp:extent cx="1923415" cy="1048239"/>
            <wp:effectExtent l="0" t="0" r="63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1278" cy="1052524"/>
                    </a:xfrm>
                    <a:prstGeom prst="rect">
                      <a:avLst/>
                    </a:prstGeom>
                    <a:noFill/>
                  </pic:spPr>
                </pic:pic>
              </a:graphicData>
            </a:graphic>
          </wp:inline>
        </w:drawing>
      </w:r>
      <w:r>
        <w:tab/>
      </w:r>
      <w:r>
        <w:tab/>
        <w:t xml:space="preserve">                                  DIRECTION DES ACHATS DE L’ETAT</w:t>
      </w:r>
    </w:p>
    <w:p/>
    <w:p/>
    <w:p/>
    <w:p>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b/>
          <w:bCs/>
          <w:color w:val="000000"/>
          <w:lang w:eastAsia="fr-FR"/>
        </w:rPr>
      </w:pPr>
    </w:p>
    <w:p>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ACCORD CADRE</w:t>
      </w:r>
    </w:p>
    <w:p>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PRESTATIONS RELATIVES A LA MISE EN ŒUVRE D4INFRASTRUCTURES DE RECHARGEPOUR LES VEHICULES ELECTRIQUES</w:t>
      </w:r>
    </w:p>
    <w:p>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br/>
      </w:r>
      <w:r>
        <w:rPr>
          <w:rFonts w:ascii="Calibri" w:eastAsia="Times New Roman" w:hAnsi="Calibri" w:cs="Calibri"/>
          <w:b/>
          <w:bCs/>
          <w:color w:val="000000"/>
          <w:lang w:eastAsia="fr-FR"/>
        </w:rPr>
        <w:br/>
        <w:t xml:space="preserve">CADRE DE RÉPONSE - MEMOIRE TECHNIQUE (CR-MT) </w:t>
      </w:r>
    </w:p>
    <w:p>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b/>
          <w:bCs/>
          <w:color w:val="000000"/>
          <w:lang w:eastAsia="fr-FR"/>
        </w:rPr>
      </w:pPr>
    </w:p>
    <w:p>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 xml:space="preserve">Lot n°2, 3 et 4 - </w:t>
      </w:r>
      <w:bookmarkStart w:id="0" w:name="_Hlk173503354"/>
      <w:r>
        <w:rPr>
          <w:rFonts w:ascii="Marianne" w:eastAsia="Andale Sans UI" w:hAnsi="Marianne" w:cs="Tahoma"/>
          <w:b/>
          <w:bCs/>
          <w:iCs/>
          <w:sz w:val="20"/>
          <w:szCs w:val="24"/>
          <w:lang w:eastAsia="ja-JP" w:bidi="fa-IR"/>
        </w:rPr>
        <w:t xml:space="preserve">Fourniture, installation, maintenance et supervision des bornes </w:t>
      </w:r>
      <w:bookmarkEnd w:id="0"/>
    </w:p>
    <w:p/>
    <w:p>
      <w:pPr>
        <w:pBdr>
          <w:top w:val="single" w:sz="4" w:space="1" w:color="auto"/>
          <w:left w:val="single" w:sz="4" w:space="4" w:color="auto"/>
          <w:bottom w:val="single" w:sz="4" w:space="1" w:color="auto"/>
          <w:right w:val="single" w:sz="4" w:space="4" w:color="auto"/>
        </w:pBdr>
      </w:pPr>
    </w:p>
    <w:p>
      <w:pPr>
        <w:pBdr>
          <w:top w:val="single" w:sz="4" w:space="1" w:color="auto"/>
          <w:left w:val="single" w:sz="4" w:space="4" w:color="auto"/>
          <w:bottom w:val="single" w:sz="4" w:space="1" w:color="auto"/>
          <w:right w:val="single" w:sz="4" w:space="4" w:color="auto"/>
        </w:pBdr>
        <w:spacing w:after="0" w:line="240" w:lineRule="auto"/>
        <w:jc w:val="both"/>
      </w:pPr>
      <w:bookmarkStart w:id="1" w:name="_Hlk144995789"/>
      <w:r>
        <w:t xml:space="preserve">Le soumissionnaire remplit le présent annexe en remplaçant les pointillés par ses réponses, </w:t>
      </w:r>
    </w:p>
    <w:bookmarkEnd w:id="1"/>
    <w:p>
      <w:pPr>
        <w:pBdr>
          <w:top w:val="single" w:sz="4" w:space="1" w:color="auto"/>
          <w:left w:val="single" w:sz="4" w:space="4" w:color="auto"/>
          <w:bottom w:val="single" w:sz="4" w:space="1" w:color="auto"/>
          <w:right w:val="single" w:sz="4" w:space="4" w:color="auto"/>
        </w:pBdr>
        <w:jc w:val="both"/>
      </w:pPr>
      <w:r>
        <w:t xml:space="preserve">Les réponses du candidat </w:t>
      </w:r>
      <w:r>
        <w:rPr>
          <w:lang w:bidi="fa-IR"/>
        </w:rPr>
        <w:t>ne doi</w:t>
      </w:r>
      <w:r>
        <w:t>vent</w:t>
      </w:r>
      <w:r>
        <w:rPr>
          <w:lang w:bidi="fa-IR"/>
        </w:rPr>
        <w:t xml:space="preserve"> pas excéder </w:t>
      </w:r>
      <w:r>
        <w:t xml:space="preserve">25 </w:t>
      </w:r>
      <w:r>
        <w:rPr>
          <w:lang w:bidi="fa-IR"/>
        </w:rPr>
        <w:t xml:space="preserve">pages maximums (compris page de présentation) sous format word avec police : Calibri – taille police : 11 - Interligne : simple. Les éléments inscrits dans le CRT au-delà des </w:t>
      </w:r>
      <w:r>
        <w:t>2</w:t>
      </w:r>
      <w:r>
        <w:rPr>
          <w:lang w:bidi="fa-IR"/>
        </w:rPr>
        <w:t>5 pages maximums exigés ne seront pas pris en compte dans le cadre de l’analyse.</w:t>
      </w:r>
    </w:p>
    <w:p>
      <w:pPr>
        <w:pBdr>
          <w:top w:val="single" w:sz="4" w:space="1" w:color="auto"/>
          <w:left w:val="single" w:sz="4" w:space="4" w:color="auto"/>
          <w:bottom w:val="single" w:sz="4" w:space="1" w:color="auto"/>
          <w:right w:val="single" w:sz="4" w:space="4" w:color="auto"/>
        </w:pBdr>
      </w:pPr>
    </w:p>
    <w:p/>
    <w:p/>
    <w:p/>
    <w:p/>
    <w:p>
      <w:r>
        <w:br w:type="page"/>
      </w:r>
    </w:p>
    <w:p>
      <w:pPr>
        <w:spacing w:after="0" w:line="240" w:lineRule="auto"/>
        <w:jc w:val="both"/>
        <w:rPr>
          <w:rFonts w:cstheme="minorHAnsi"/>
          <w:b/>
          <w:bCs/>
          <w:u w:val="single"/>
        </w:rPr>
      </w:pPr>
      <w:r>
        <w:rPr>
          <w:rFonts w:cstheme="minorHAnsi"/>
          <w:b/>
          <w:bCs/>
          <w:u w:val="single"/>
        </w:rPr>
        <w:lastRenderedPageBreak/>
        <w:t xml:space="preserve">NOM DU SOUMISSIONNAIRE : </w:t>
      </w:r>
      <w:r>
        <w:rPr>
          <w:rFonts w:cstheme="minorHAnsi"/>
          <w:b/>
          <w:bCs/>
        </w:rPr>
        <w:t xml:space="preserve">  …………………………………………………………………………………..</w:t>
      </w:r>
    </w:p>
    <w:p>
      <w:pPr>
        <w:spacing w:after="0" w:line="240" w:lineRule="auto"/>
        <w:jc w:val="both"/>
        <w:rPr>
          <w:rFonts w:cstheme="minorHAnsi"/>
          <w:b/>
          <w:bCs/>
          <w:u w:val="single"/>
        </w:rPr>
      </w:pPr>
    </w:p>
    <w:p>
      <w:pPr>
        <w:spacing w:after="0" w:line="240" w:lineRule="auto"/>
        <w:jc w:val="both"/>
        <w:rPr>
          <w:rFonts w:eastAsia="Times New Roman" w:cstheme="minorHAnsi"/>
          <w:b/>
          <w:bCs/>
          <w:color w:val="000000"/>
          <w:u w:val="single"/>
          <w:lang w:eastAsia="fr-FR"/>
        </w:rPr>
      </w:pPr>
      <w:r>
        <w:rPr>
          <w:rFonts w:eastAsia="Times New Roman" w:cstheme="minorHAnsi"/>
          <w:b/>
          <w:bCs/>
          <w:color w:val="000000"/>
          <w:u w:val="single"/>
          <w:lang w:eastAsia="fr-FR"/>
        </w:rPr>
        <w:t xml:space="preserve">Critère 1 – Valeur Technique – 50% </w:t>
      </w:r>
    </w:p>
    <w:p>
      <w:pPr>
        <w:spacing w:after="0" w:line="240" w:lineRule="auto"/>
        <w:jc w:val="both"/>
        <w:rPr>
          <w:rFonts w:eastAsia="Times New Roman" w:cstheme="minorHAnsi"/>
          <w:b/>
          <w:bCs/>
          <w:color w:val="000000"/>
          <w:u w:val="single"/>
          <w:lang w:eastAsia="fr-FR"/>
        </w:rPr>
      </w:pPr>
    </w:p>
    <w:p>
      <w:pPr>
        <w:spacing w:after="0" w:line="240" w:lineRule="auto"/>
        <w:jc w:val="both"/>
        <w:rPr>
          <w:rFonts w:cstheme="minorHAnsi"/>
        </w:rPr>
      </w:pPr>
      <w:r>
        <w:rPr>
          <w:rFonts w:cstheme="minorHAnsi"/>
        </w:rPr>
        <w:t>Vous pouvez joindre en plus des annexes demandées dans le CRT tout document jugé utile, dans la limite de 10 pages</w:t>
      </w:r>
    </w:p>
    <w:p>
      <w:pPr>
        <w:spacing w:after="0" w:line="240" w:lineRule="auto"/>
        <w:jc w:val="both"/>
        <w:rPr>
          <w:rFonts w:eastAsia="Times New Roman" w:cstheme="minorHAnsi"/>
          <w:b/>
          <w:bCs/>
          <w:color w:val="000000"/>
          <w:u w:val="single"/>
          <w:lang w:eastAsia="fr-FR"/>
        </w:rPr>
      </w:pPr>
    </w:p>
    <w:p>
      <w:pPr>
        <w:spacing w:after="0" w:line="240" w:lineRule="auto"/>
        <w:jc w:val="both"/>
        <w:rPr>
          <w:rFonts w:eastAsia="Times New Roman" w:cstheme="minorHAnsi"/>
          <w:b/>
          <w:bCs/>
          <w:color w:val="000000"/>
          <w:u w:val="single"/>
          <w:lang w:eastAsia="fr-FR"/>
        </w:rPr>
      </w:pPr>
      <w:r>
        <w:rPr>
          <w:rFonts w:eastAsia="Times New Roman" w:cstheme="minorHAnsi"/>
          <w:b/>
          <w:bCs/>
          <w:color w:val="000000"/>
          <w:u w:val="single"/>
          <w:lang w:eastAsia="fr-FR"/>
        </w:rPr>
        <w:t>Sous-critère 1 : Organisation, méthodologie et qualité du service (humains et matériels) – 40 %</w:t>
      </w:r>
    </w:p>
    <w:p>
      <w:pPr>
        <w:spacing w:after="0" w:line="240" w:lineRule="auto"/>
        <w:jc w:val="both"/>
        <w:rPr>
          <w:rFonts w:eastAsia="Times New Roman" w:cstheme="minorHAnsi"/>
          <w:b/>
          <w:bCs/>
          <w:color w:val="000000"/>
          <w:u w:val="single"/>
          <w:lang w:eastAsia="fr-FR"/>
        </w:rPr>
      </w:pPr>
    </w:p>
    <w:p>
      <w:pPr>
        <w:spacing w:after="0" w:line="240" w:lineRule="auto"/>
        <w:jc w:val="both"/>
        <w:rPr>
          <w:rFonts w:cstheme="minorHAnsi"/>
          <w:b/>
          <w:bCs/>
        </w:rPr>
      </w:pPr>
      <w:r>
        <w:rPr>
          <w:rFonts w:cstheme="minorHAnsi"/>
          <w:b/>
          <w:bCs/>
        </w:rPr>
        <w:t xml:space="preserve">Dans le sous-critère 1 sera jugé, notamment : </w:t>
      </w:r>
    </w:p>
    <w:p>
      <w:pPr>
        <w:spacing w:after="0" w:line="240" w:lineRule="auto"/>
        <w:jc w:val="both"/>
        <w:rPr>
          <w:rFonts w:cstheme="minorHAnsi"/>
          <w:b/>
          <w:bCs/>
        </w:rPr>
      </w:pPr>
    </w:p>
    <w:p>
      <w:pPr>
        <w:spacing w:after="0" w:line="240" w:lineRule="auto"/>
        <w:jc w:val="both"/>
        <w:rPr>
          <w:rFonts w:cstheme="minorHAnsi"/>
          <w:b/>
          <w:bCs/>
        </w:rPr>
      </w:pPr>
      <w:r>
        <w:rPr>
          <w:rFonts w:cstheme="minorHAnsi"/>
          <w:b/>
          <w:bCs/>
        </w:rPr>
        <w:t>Qualité des produits proposés –10%</w:t>
      </w:r>
    </w:p>
    <w:p>
      <w:pPr>
        <w:spacing w:after="0" w:line="240" w:lineRule="auto"/>
        <w:jc w:val="both"/>
        <w:rPr>
          <w:rFonts w:cstheme="minorHAnsi"/>
        </w:rPr>
      </w:pPr>
    </w:p>
    <w:p>
      <w:pPr>
        <w:spacing w:after="0" w:line="240" w:lineRule="auto"/>
        <w:jc w:val="both"/>
        <w:rPr>
          <w:rFonts w:cstheme="minorHAnsi"/>
          <w:u w:val="single"/>
        </w:rPr>
      </w:pPr>
      <w:r>
        <w:rPr>
          <w:rFonts w:cstheme="minorHAnsi"/>
          <w:u w:val="single"/>
        </w:rPr>
        <w:t xml:space="preserve">Pour chaque item merci de faire une description détaillée : </w:t>
      </w:r>
    </w:p>
    <w:p>
      <w:pPr>
        <w:spacing w:after="0" w:line="240" w:lineRule="auto"/>
        <w:jc w:val="both"/>
        <w:rPr>
          <w:rFonts w:cstheme="minorHAnsi"/>
          <w:b/>
          <w:bCs/>
        </w:rPr>
      </w:pPr>
    </w:p>
    <w:p>
      <w:pPr>
        <w:pStyle w:val="Paragraphedeliste"/>
        <w:numPr>
          <w:ilvl w:val="0"/>
          <w:numId w:val="6"/>
        </w:numPr>
        <w:spacing w:after="0" w:line="240" w:lineRule="auto"/>
        <w:jc w:val="both"/>
        <w:rPr>
          <w:rFonts w:cstheme="minorHAnsi"/>
        </w:rPr>
      </w:pPr>
      <w:r>
        <w:rPr>
          <w:rFonts w:cstheme="minorHAnsi"/>
        </w:rPr>
        <w:t>Bornes de recharge proposées (article 2 du CCTP) : modèle, spécifications techniques et caractéristiques spécifiques des bornes de recharge, option de connectivité, impact de la migration de la borne vers OCCP 2.0, compatibilité avec les différents modèles de véhicules électriques,</w:t>
      </w:r>
      <w:r>
        <w:rPr>
          <w:rFonts w:eastAsia="Times New Roman" w:cstheme="minorHAnsi"/>
          <w:color w:val="000000"/>
          <w:sz w:val="20"/>
          <w:szCs w:val="20"/>
          <w:lang w:eastAsia="fr-FR"/>
        </w:rPr>
        <w:t xml:space="preserve"> </w:t>
      </w:r>
      <w:r>
        <w:rPr>
          <w:rFonts w:eastAsia="Times New Roman" w:cstheme="minorHAnsi"/>
          <w:color w:val="000000"/>
          <w:lang w:eastAsia="fr-FR"/>
        </w:rPr>
        <w:t>protection contre les intempéries, le vandalisme et les surcharges électriques</w:t>
      </w:r>
      <w:r>
        <w:rPr>
          <w:rFonts w:eastAsia="Times New Roman" w:cstheme="minorHAnsi"/>
          <w:color w:val="000000"/>
          <w:sz w:val="20"/>
          <w:szCs w:val="20"/>
          <w:lang w:eastAsia="fr-FR"/>
        </w:rPr>
        <w:t xml:space="preserve"> </w:t>
      </w:r>
      <w:r>
        <w:rPr>
          <w:rFonts w:cstheme="minorHAnsi"/>
        </w:rPr>
        <w:t>(pour chaque modèle, joindre en annexe, un descriptif précis et une fiche technique de chaque matériel proposé, dans la limite de 2 pages par modèle de borne)).</w:t>
      </w:r>
    </w:p>
    <w:p>
      <w:pPr>
        <w:spacing w:after="0" w:line="240" w:lineRule="auto"/>
        <w:ind w:left="360"/>
        <w:jc w:val="both"/>
        <w:rPr>
          <w:rFonts w:cstheme="minorHAnsi"/>
          <w:b/>
          <w:bCs/>
        </w:rPr>
      </w:pPr>
      <w:r>
        <w:rPr>
          <w:rFonts w:cstheme="minorHAnsi"/>
          <w:b/>
          <w:bCs/>
        </w:rPr>
        <w:t>……………………………………………………………………………………………………………………………………………………………………………………………………………………………………………………………………………………………………</w:t>
      </w:r>
    </w:p>
    <w:p>
      <w:pPr>
        <w:spacing w:after="0" w:line="240" w:lineRule="auto"/>
        <w:ind w:left="360"/>
        <w:jc w:val="both"/>
        <w:rPr>
          <w:rFonts w:cstheme="minorHAnsi"/>
          <w:b/>
          <w:bCs/>
        </w:rPr>
      </w:pPr>
    </w:p>
    <w:p>
      <w:pPr>
        <w:pStyle w:val="Paragraphedeliste"/>
        <w:numPr>
          <w:ilvl w:val="0"/>
          <w:numId w:val="19"/>
        </w:numPr>
        <w:spacing w:after="0" w:line="240" w:lineRule="auto"/>
        <w:jc w:val="both"/>
        <w:rPr>
          <w:rFonts w:cstheme="minorHAnsi"/>
        </w:rPr>
      </w:pPr>
      <w:r>
        <w:rPr>
          <w:rFonts w:cstheme="minorHAnsi"/>
        </w:rPr>
        <w:t>Le candidat renseigne, pour chaque modèle de bornes de recharge, la durée de disponibilité des pièces détachées.</w:t>
      </w:r>
    </w:p>
    <w:p>
      <w:pPr>
        <w:spacing w:after="0" w:line="240" w:lineRule="auto"/>
        <w:ind w:left="360"/>
        <w:jc w:val="both"/>
        <w:rPr>
          <w:rFonts w:cstheme="minorHAnsi"/>
          <w:b/>
          <w:bCs/>
        </w:rPr>
      </w:pPr>
      <w:r>
        <w:rPr>
          <w:rFonts w:cstheme="minorHAnsi"/>
          <w:b/>
          <w:bCs/>
        </w:rPr>
        <w:t>……………………………………………………………………………………………………………………………………………………………………………………………………………………………………………………………………………………………………</w:t>
      </w:r>
    </w:p>
    <w:p>
      <w:pPr>
        <w:spacing w:after="0" w:line="240" w:lineRule="auto"/>
        <w:jc w:val="both"/>
        <w:rPr>
          <w:rFonts w:cstheme="minorHAnsi"/>
        </w:rPr>
      </w:pPr>
    </w:p>
    <w:p>
      <w:pPr>
        <w:pStyle w:val="Paragraphedeliste"/>
        <w:numPr>
          <w:ilvl w:val="0"/>
          <w:numId w:val="6"/>
        </w:numPr>
        <w:spacing w:after="0" w:line="240" w:lineRule="auto"/>
        <w:jc w:val="both"/>
        <w:rPr>
          <w:rFonts w:cstheme="minorHAnsi"/>
        </w:rPr>
      </w:pPr>
      <w:r>
        <w:rPr>
          <w:rFonts w:cstheme="minorHAnsi"/>
        </w:rPr>
        <w:t>Au titre de la durabilité de la borne, le candidat renseigne la part d’acier et d’aluminium constituant le boitier d'habillage pour chaque modèle bornes proposées, exprimée en pourcentage de la masse totale du boîtier.</w:t>
      </w:r>
    </w:p>
    <w:p>
      <w:pPr>
        <w:spacing w:after="0" w:line="240" w:lineRule="auto"/>
        <w:ind w:left="360"/>
        <w:jc w:val="both"/>
        <w:rPr>
          <w:rFonts w:cstheme="minorHAnsi"/>
          <w:b/>
          <w:bCs/>
        </w:rPr>
      </w:pPr>
      <w:r>
        <w:rPr>
          <w:rFonts w:cstheme="minorHAnsi"/>
        </w:rPr>
        <w:t>.</w:t>
      </w:r>
      <w:r>
        <w:rPr>
          <w:rFonts w:cstheme="minorHAnsi"/>
          <w:b/>
          <w:bCs/>
        </w:rPr>
        <w:t>…………………………………………………………………………………………………………………………………………………………………………………………………………………………………………………………………………………………………….</w:t>
      </w:r>
    </w:p>
    <w:p>
      <w:pPr>
        <w:spacing w:after="0" w:line="240" w:lineRule="auto"/>
        <w:ind w:left="360"/>
        <w:jc w:val="both"/>
        <w:rPr>
          <w:rFonts w:cstheme="minorHAnsi"/>
        </w:rPr>
      </w:pPr>
    </w:p>
    <w:p>
      <w:pPr>
        <w:pStyle w:val="Paragraphedeliste"/>
        <w:numPr>
          <w:ilvl w:val="0"/>
          <w:numId w:val="6"/>
        </w:numPr>
        <w:spacing w:after="0" w:line="240" w:lineRule="auto"/>
        <w:jc w:val="both"/>
        <w:rPr>
          <w:rFonts w:cstheme="minorHAnsi"/>
          <w:b/>
          <w:bCs/>
          <w:sz w:val="24"/>
          <w:szCs w:val="24"/>
        </w:rPr>
      </w:pPr>
      <w:r>
        <w:rPr>
          <w:rFonts w:eastAsia="Times New Roman" w:cstheme="minorHAnsi"/>
          <w:color w:val="000000"/>
          <w:lang w:eastAsia="fr-FR"/>
        </w:rPr>
        <w:t xml:space="preserve">Qualité ergonomique et simplicité d’utilisation des bornes (accessibilité et facilité d’utilisation de la borne (déverrouillage, écran d’accueil…) </w:t>
      </w:r>
    </w:p>
    <w:p>
      <w:pPr>
        <w:spacing w:after="0" w:line="240" w:lineRule="auto"/>
        <w:ind w:left="360"/>
        <w:jc w:val="both"/>
        <w:rPr>
          <w:rFonts w:cstheme="minorHAnsi"/>
          <w:b/>
          <w:bCs/>
        </w:rPr>
      </w:pPr>
      <w:r>
        <w:rPr>
          <w:rFonts w:cstheme="minorHAnsi"/>
          <w:b/>
          <w:bCs/>
        </w:rPr>
        <w:t>…………………………………………………………………………………………………………………………………………………………………………………………………………………………………………………………………………………………………….</w:t>
      </w:r>
    </w:p>
    <w:p>
      <w:pPr>
        <w:spacing w:after="0" w:line="240" w:lineRule="auto"/>
        <w:ind w:left="360"/>
        <w:jc w:val="both"/>
        <w:rPr>
          <w:rFonts w:cstheme="minorHAnsi"/>
          <w:b/>
          <w:bCs/>
        </w:rPr>
      </w:pPr>
    </w:p>
    <w:p>
      <w:pPr>
        <w:spacing w:after="0" w:line="240" w:lineRule="auto"/>
        <w:jc w:val="both"/>
        <w:rPr>
          <w:rFonts w:cstheme="minorHAnsi"/>
          <w:i/>
          <w:iCs/>
        </w:rPr>
      </w:pPr>
      <w:r>
        <w:rPr>
          <w:rFonts w:cstheme="minorHAnsi"/>
          <w:b/>
          <w:bCs/>
        </w:rPr>
        <w:t>Pertinence de l’organisation et la méthodologie des prestations d’études et d’installation pour la réalisation des prestations – 10%</w:t>
      </w:r>
    </w:p>
    <w:p>
      <w:pPr>
        <w:spacing w:after="0" w:line="240" w:lineRule="auto"/>
        <w:jc w:val="both"/>
        <w:rPr>
          <w:rFonts w:cstheme="minorHAnsi"/>
          <w:b/>
          <w:bCs/>
        </w:rPr>
      </w:pPr>
    </w:p>
    <w:p>
      <w:pPr>
        <w:spacing w:after="0" w:line="240" w:lineRule="auto"/>
        <w:jc w:val="both"/>
        <w:rPr>
          <w:rFonts w:cstheme="minorHAnsi"/>
          <w:u w:val="single"/>
        </w:rPr>
      </w:pPr>
      <w:r>
        <w:rPr>
          <w:rFonts w:cstheme="minorHAnsi"/>
          <w:u w:val="single"/>
        </w:rPr>
        <w:t>Etape clés de la phase d’étude</w:t>
      </w:r>
    </w:p>
    <w:p>
      <w:pPr>
        <w:spacing w:after="0" w:line="240" w:lineRule="auto"/>
        <w:ind w:left="360"/>
        <w:jc w:val="both"/>
        <w:rPr>
          <w:rFonts w:cstheme="minorHAnsi"/>
        </w:rPr>
      </w:pPr>
    </w:p>
    <w:p>
      <w:pPr>
        <w:pStyle w:val="Paragraphedeliste"/>
        <w:numPr>
          <w:ilvl w:val="0"/>
          <w:numId w:val="6"/>
        </w:numPr>
        <w:spacing w:after="0" w:line="240" w:lineRule="auto"/>
        <w:jc w:val="both"/>
        <w:rPr>
          <w:rFonts w:cstheme="minorHAnsi"/>
        </w:rPr>
      </w:pPr>
      <w:r>
        <w:rPr>
          <w:rFonts w:cstheme="minorHAnsi"/>
        </w:rPr>
        <w:t>Le candidat identifie les objectifs, les enjeux de l’étude préalable à l’installation et décrit les outils et méthodes utilisées pour réaliser l’étude (incluant les contraintes environnementales) et indique ses préconisations pour prendre en compte la capacité des installations électriques existantes et la prise en compte des prévisions de croissance du nombre de bornes.</w:t>
      </w:r>
    </w:p>
    <w:p>
      <w:pPr>
        <w:pStyle w:val="Paragraphedeliste"/>
        <w:spacing w:after="0" w:line="240" w:lineRule="auto"/>
        <w:ind w:left="426"/>
        <w:jc w:val="both"/>
        <w:rPr>
          <w:rFonts w:cstheme="minorHAnsi"/>
        </w:rPr>
      </w:pPr>
      <w:r>
        <w:rPr>
          <w:rFonts w:cstheme="minorHAnsi"/>
          <w:b/>
          <w:bCs/>
        </w:rPr>
        <w:t>…………………………………………………………………………………………………………………………………………………………………………………………………………………………………………………………………………………………………..</w:t>
      </w:r>
    </w:p>
    <w:p>
      <w:pPr>
        <w:spacing w:after="0" w:line="240" w:lineRule="auto"/>
        <w:jc w:val="both"/>
        <w:rPr>
          <w:rFonts w:cstheme="minorHAnsi"/>
          <w:b/>
          <w:bCs/>
        </w:rPr>
      </w:pPr>
    </w:p>
    <w:p>
      <w:pPr>
        <w:spacing w:after="0" w:line="240" w:lineRule="auto"/>
        <w:jc w:val="both"/>
        <w:rPr>
          <w:rFonts w:cstheme="minorHAnsi"/>
          <w:u w:val="single"/>
        </w:rPr>
      </w:pPr>
      <w:r>
        <w:rPr>
          <w:rFonts w:cstheme="minorHAnsi"/>
          <w:u w:val="single"/>
        </w:rPr>
        <w:lastRenderedPageBreak/>
        <w:t>Etapes clés du processus d’installation</w:t>
      </w:r>
    </w:p>
    <w:p>
      <w:pPr>
        <w:spacing w:after="0"/>
        <w:jc w:val="both"/>
        <w:rPr>
          <w:rFonts w:cstheme="minorHAnsi"/>
        </w:rPr>
      </w:pPr>
    </w:p>
    <w:p>
      <w:pPr>
        <w:pStyle w:val="Paragraphedeliste"/>
        <w:numPr>
          <w:ilvl w:val="0"/>
          <w:numId w:val="13"/>
        </w:numPr>
        <w:spacing w:after="0"/>
        <w:jc w:val="both"/>
        <w:rPr>
          <w:rFonts w:cstheme="minorHAnsi"/>
        </w:rPr>
      </w:pPr>
      <w:r>
        <w:rPr>
          <w:rFonts w:eastAsia="Times New Roman" w:cstheme="minorHAnsi"/>
          <w:lang w:eastAsia="fr-FR"/>
        </w:rPr>
        <w:t xml:space="preserve">Le candidat décrit l’organisation mise en place dans le cadre du suivi des travaux ; en précisant le nombre de personnes, leur niveau d’expérience ainsi que leur qualification pour </w:t>
      </w:r>
      <w:r>
        <w:rPr>
          <w:rFonts w:cstheme="minorHAnsi"/>
        </w:rPr>
        <w:t>l’équipe d’exécution : responsable d’exploitation, conducteur de chantier, chef de chantier, bureau d’études (exécution) et nombre d’ouvriers.</w:t>
      </w:r>
    </w:p>
    <w:p>
      <w:pPr>
        <w:pStyle w:val="Paragraphedeliste"/>
        <w:spacing w:after="0"/>
        <w:ind w:left="284"/>
        <w:jc w:val="both"/>
        <w:rPr>
          <w:rFonts w:cstheme="minorHAnsi"/>
          <w:b/>
          <w:bCs/>
        </w:rPr>
      </w:pPr>
      <w:r>
        <w:rPr>
          <w:rFonts w:cstheme="minorHAnsi"/>
          <w:b/>
          <w:bCs/>
        </w:rPr>
        <w:t xml:space="preserve">………………………………………………………………………………………………………………………………………………………………………………………………………………………………………………………………………………………………………… </w:t>
      </w:r>
    </w:p>
    <w:p>
      <w:pPr>
        <w:spacing w:after="0" w:line="240" w:lineRule="auto"/>
        <w:jc w:val="both"/>
        <w:rPr>
          <w:rFonts w:cstheme="minorHAnsi"/>
        </w:rPr>
      </w:pPr>
    </w:p>
    <w:p>
      <w:pPr>
        <w:pStyle w:val="Paragraphedeliste"/>
        <w:numPr>
          <w:ilvl w:val="0"/>
          <w:numId w:val="6"/>
        </w:numPr>
        <w:spacing w:after="0"/>
        <w:jc w:val="both"/>
        <w:rPr>
          <w:rFonts w:cstheme="minorHAnsi"/>
        </w:rPr>
      </w:pPr>
      <w:r>
        <w:rPr>
          <w:rFonts w:cstheme="minorHAnsi"/>
        </w:rPr>
        <w:t xml:space="preserve">Fournir un exemple de calendrier détaillé de l’étude et de l’installation avec des délais pour chaque phase et explication des mesures prévues pour garantir le respect des délais. </w:t>
      </w:r>
    </w:p>
    <w:p>
      <w:pPr>
        <w:spacing w:after="0"/>
        <w:ind w:left="360"/>
        <w:jc w:val="both"/>
        <w:rPr>
          <w:rFonts w:cstheme="minorHAnsi"/>
          <w:b/>
          <w:bCs/>
        </w:rPr>
      </w:pPr>
      <w:r>
        <w:rPr>
          <w:rFonts w:cstheme="minorHAnsi"/>
          <w:b/>
          <w:bCs/>
        </w:rPr>
        <w:t xml:space="preserve">…………………………………………………………………………………………………………………………………………………………………………………………………………………………………………………………………………………………………… </w:t>
      </w:r>
    </w:p>
    <w:p>
      <w:pPr>
        <w:spacing w:after="0"/>
        <w:jc w:val="both"/>
        <w:rPr>
          <w:rFonts w:cstheme="minorHAnsi"/>
        </w:rPr>
      </w:pPr>
    </w:p>
    <w:p>
      <w:pPr>
        <w:spacing w:before="100" w:beforeAutospacing="1" w:after="0" w:line="240" w:lineRule="auto"/>
        <w:jc w:val="both"/>
        <w:rPr>
          <w:rFonts w:eastAsia="Times New Roman" w:cstheme="minorHAnsi"/>
          <w:b/>
          <w:bCs/>
          <w:color w:val="000000"/>
          <w:sz w:val="20"/>
          <w:szCs w:val="20"/>
          <w:lang w:eastAsia="fr-FR"/>
        </w:rPr>
      </w:pPr>
      <w:r>
        <w:rPr>
          <w:rFonts w:eastAsia="Times New Roman" w:cstheme="minorHAnsi"/>
          <w:b/>
          <w:bCs/>
          <w:color w:val="000000"/>
          <w:sz w:val="20"/>
          <w:szCs w:val="20"/>
          <w:lang w:eastAsia="fr-FR"/>
        </w:rPr>
        <w:t>Pertinence de l’organisation des prestations de maintenance (programmation et méthodologie des interventions) – 10%</w:t>
      </w:r>
    </w:p>
    <w:p>
      <w:pPr>
        <w:spacing w:before="100" w:beforeAutospacing="1" w:after="0" w:line="240" w:lineRule="auto"/>
        <w:jc w:val="both"/>
        <w:rPr>
          <w:rFonts w:eastAsia="Times New Roman" w:cstheme="minorHAnsi"/>
          <w:b/>
          <w:bCs/>
          <w:color w:val="000000"/>
          <w:sz w:val="20"/>
          <w:szCs w:val="20"/>
          <w:lang w:eastAsia="fr-FR"/>
        </w:rPr>
      </w:pPr>
    </w:p>
    <w:p>
      <w:pPr>
        <w:spacing w:after="0" w:line="240" w:lineRule="auto"/>
        <w:jc w:val="both"/>
        <w:rPr>
          <w:rFonts w:cstheme="minorHAnsi"/>
          <w:u w:val="single"/>
        </w:rPr>
      </w:pPr>
      <w:r>
        <w:rPr>
          <w:rFonts w:cstheme="minorHAnsi"/>
          <w:u w:val="single"/>
        </w:rPr>
        <w:t xml:space="preserve">Rapidité des délais et des engagements de qualité pour assurer la continuité du service. </w:t>
      </w:r>
    </w:p>
    <w:p>
      <w:pPr>
        <w:spacing w:after="0" w:line="240" w:lineRule="auto"/>
        <w:jc w:val="both"/>
        <w:rPr>
          <w:rFonts w:cstheme="minorHAnsi"/>
        </w:rPr>
      </w:pPr>
    </w:p>
    <w:p>
      <w:pPr>
        <w:pStyle w:val="Paragraphedeliste"/>
        <w:numPr>
          <w:ilvl w:val="0"/>
          <w:numId w:val="21"/>
        </w:numPr>
        <w:spacing w:after="0"/>
        <w:jc w:val="both"/>
        <w:rPr>
          <w:rFonts w:cstheme="minorHAnsi"/>
        </w:rPr>
      </w:pPr>
      <w:r>
        <w:rPr>
          <w:rFonts w:cstheme="minorHAnsi"/>
        </w:rPr>
        <w:t>Présentation de l’organisation pendant le marché pour garantir les délais d’intervention et pour garantir la continuité des prestations durant les congés et en cas de période de forte activité</w:t>
      </w:r>
    </w:p>
    <w:p>
      <w:pPr>
        <w:spacing w:after="0" w:line="240" w:lineRule="auto"/>
        <w:jc w:val="both"/>
        <w:rPr>
          <w:rFonts w:cstheme="minorHAnsi"/>
          <w:b/>
          <w:bCs/>
        </w:rPr>
      </w:pPr>
      <w:r>
        <w:rPr>
          <w:rFonts w:cstheme="minorHAnsi"/>
          <w:b/>
          <w:bCs/>
        </w:rPr>
        <w:t>……………………………………………………………………………………………………………………………………………………………………………………………………………………………………………………………………………………………………………..</w:t>
      </w:r>
    </w:p>
    <w:p>
      <w:pPr>
        <w:spacing w:after="0" w:line="240" w:lineRule="auto"/>
        <w:jc w:val="both"/>
        <w:rPr>
          <w:rFonts w:cstheme="minorHAnsi"/>
        </w:rPr>
      </w:pPr>
    </w:p>
    <w:p>
      <w:pPr>
        <w:spacing w:after="0" w:line="240" w:lineRule="auto"/>
        <w:jc w:val="both"/>
        <w:rPr>
          <w:rFonts w:cstheme="minorHAnsi"/>
        </w:rPr>
      </w:pPr>
      <w:r>
        <w:rPr>
          <w:rFonts w:cstheme="minorHAnsi"/>
        </w:rPr>
        <w:t xml:space="preserve">Le soumissionnaire renseigne pour chacun des points suivants un délai. </w:t>
      </w:r>
    </w:p>
    <w:p>
      <w:pPr>
        <w:spacing w:after="0" w:line="240" w:lineRule="auto"/>
        <w:jc w:val="both"/>
        <w:rPr>
          <w:rFonts w:cstheme="minorHAnsi"/>
          <w:szCs w:val="20"/>
        </w:rPr>
      </w:pPr>
    </w:p>
    <w:tbl>
      <w:tblPr>
        <w:tblW w:w="907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74"/>
        <w:gridCol w:w="2835"/>
        <w:gridCol w:w="2263"/>
      </w:tblGrid>
      <w:tr>
        <w:trPr>
          <w:trHeight w:val="726"/>
        </w:trPr>
        <w:tc>
          <w:tcPr>
            <w:tcW w:w="3974" w:type="dxa"/>
            <w:shd w:val="clear" w:color="auto" w:fill="D9E2F3" w:themeFill="accent1" w:themeFillTint="33"/>
            <w:vAlign w:val="center"/>
          </w:tcPr>
          <w:p>
            <w:pPr>
              <w:spacing w:after="0" w:line="240" w:lineRule="auto"/>
              <w:jc w:val="center"/>
              <w:rPr>
                <w:rFonts w:eastAsia="Times New Roman" w:cstheme="minorHAnsi"/>
                <w:szCs w:val="20"/>
                <w:lang w:eastAsia="fr-FR"/>
              </w:rPr>
            </w:pPr>
            <w:r>
              <w:rPr>
                <w:rFonts w:eastAsia="Times New Roman" w:cstheme="minorHAnsi"/>
                <w:szCs w:val="20"/>
                <w:lang w:eastAsia="fr-FR"/>
              </w:rPr>
              <w:t>Nature du défaut identifié</w:t>
            </w:r>
          </w:p>
        </w:tc>
        <w:tc>
          <w:tcPr>
            <w:tcW w:w="2835" w:type="dxa"/>
            <w:shd w:val="clear" w:color="auto" w:fill="D9E2F3" w:themeFill="accent1" w:themeFillTint="33"/>
            <w:vAlign w:val="center"/>
          </w:tcPr>
          <w:p>
            <w:pPr>
              <w:spacing w:after="0" w:line="240" w:lineRule="auto"/>
              <w:jc w:val="center"/>
              <w:rPr>
                <w:rFonts w:eastAsia="Times New Roman" w:cstheme="minorHAnsi"/>
                <w:szCs w:val="20"/>
                <w:lang w:eastAsia="fr-FR"/>
              </w:rPr>
            </w:pPr>
            <w:r>
              <w:rPr>
                <w:rFonts w:eastAsia="Times New Roman" w:cstheme="minorHAnsi"/>
                <w:szCs w:val="20"/>
                <w:lang w:eastAsia="fr-FR"/>
              </w:rPr>
              <w:t>Délai maximum d’intervention</w:t>
            </w:r>
          </w:p>
        </w:tc>
        <w:tc>
          <w:tcPr>
            <w:tcW w:w="2263" w:type="dxa"/>
            <w:shd w:val="clear" w:color="auto" w:fill="D9E2F3" w:themeFill="accent1" w:themeFillTint="33"/>
            <w:vAlign w:val="center"/>
          </w:tcPr>
          <w:p>
            <w:pPr>
              <w:spacing w:after="0" w:line="240" w:lineRule="auto"/>
              <w:jc w:val="both"/>
              <w:rPr>
                <w:rFonts w:eastAsia="Times New Roman" w:cstheme="minorHAnsi"/>
                <w:szCs w:val="20"/>
                <w:lang w:eastAsia="fr-FR"/>
              </w:rPr>
            </w:pPr>
            <w:r>
              <w:rPr>
                <w:rFonts w:eastAsia="Times New Roman" w:cstheme="minorHAnsi"/>
                <w:szCs w:val="20"/>
                <w:lang w:eastAsia="fr-FR"/>
              </w:rPr>
              <w:t>Proposition du candidat</w:t>
            </w:r>
          </w:p>
        </w:tc>
      </w:tr>
      <w:tr>
        <w:trPr>
          <w:trHeight w:val="726"/>
        </w:trPr>
        <w:tc>
          <w:tcPr>
            <w:tcW w:w="9072" w:type="dxa"/>
            <w:gridSpan w:val="3"/>
            <w:shd w:val="clear" w:color="auto" w:fill="D9E2F3" w:themeFill="accent1" w:themeFillTint="33"/>
            <w:vAlign w:val="center"/>
            <w:hideMark/>
          </w:tcPr>
          <w:p>
            <w:pPr>
              <w:spacing w:after="0" w:line="240" w:lineRule="auto"/>
              <w:jc w:val="both"/>
              <w:rPr>
                <w:rFonts w:eastAsia="Times New Roman" w:cstheme="minorHAnsi"/>
                <w:b/>
                <w:bCs/>
                <w:szCs w:val="20"/>
                <w:lang w:eastAsia="fr-FR"/>
              </w:rPr>
            </w:pPr>
            <w:r>
              <w:rPr>
                <w:rFonts w:eastAsia="Times New Roman" w:cstheme="minorHAnsi"/>
                <w:b/>
                <w:bCs/>
                <w:szCs w:val="20"/>
                <w:lang w:eastAsia="fr-FR"/>
              </w:rPr>
              <w:t>Délai d’intervention (</w:t>
            </w:r>
            <w:r>
              <w:rPr>
                <w:rFonts w:cstheme="minorHAnsi"/>
              </w:rPr>
              <w:t>Ce délai ne peut être supérieur au délai maximum inscrit dans le CCTP (article 4.4)</w:t>
            </w:r>
          </w:p>
        </w:tc>
      </w:tr>
      <w:tr>
        <w:trPr>
          <w:trHeight w:val="445"/>
        </w:trPr>
        <w:tc>
          <w:tcPr>
            <w:tcW w:w="3974" w:type="dxa"/>
            <w:shd w:val="clear" w:color="auto" w:fill="auto"/>
            <w:vAlign w:val="center"/>
          </w:tcPr>
          <w:p>
            <w:pPr>
              <w:spacing w:after="0" w:line="240" w:lineRule="auto"/>
              <w:jc w:val="both"/>
              <w:rPr>
                <w:rFonts w:eastAsia="Times New Roman" w:cstheme="minorHAnsi"/>
                <w:szCs w:val="20"/>
                <w:lang w:eastAsia="fr-FR"/>
              </w:rPr>
            </w:pPr>
            <w:r>
              <w:rPr>
                <w:rFonts w:eastAsia="Times New Roman" w:cstheme="minorHAnsi"/>
                <w:szCs w:val="20"/>
                <w:lang w:eastAsia="fr-FR"/>
              </w:rPr>
              <w:t>Niveau 1 : défaut identifié par un technicien présent sur site (au titre d’une opération de maintenance préventive)</w:t>
            </w:r>
          </w:p>
        </w:tc>
        <w:tc>
          <w:tcPr>
            <w:tcW w:w="2835" w:type="dxa"/>
            <w:shd w:val="clear" w:color="auto" w:fill="auto"/>
            <w:vAlign w:val="center"/>
          </w:tcPr>
          <w:p>
            <w:pPr>
              <w:spacing w:after="0" w:line="240" w:lineRule="auto"/>
              <w:jc w:val="both"/>
              <w:rPr>
                <w:rFonts w:eastAsia="Times New Roman" w:cstheme="minorHAnsi"/>
                <w:szCs w:val="20"/>
                <w:lang w:eastAsia="fr-FR"/>
              </w:rPr>
            </w:pPr>
            <w:r>
              <w:rPr>
                <w:rFonts w:eastAsia="Times New Roman" w:cstheme="minorHAnsi"/>
                <w:szCs w:val="20"/>
                <w:lang w:eastAsia="fr-FR"/>
              </w:rPr>
              <w:t xml:space="preserve">Exprimé en heure : </w:t>
            </w:r>
          </w:p>
        </w:tc>
        <w:tc>
          <w:tcPr>
            <w:tcW w:w="2263" w:type="dxa"/>
            <w:vAlign w:val="center"/>
          </w:tcPr>
          <w:p>
            <w:pPr>
              <w:spacing w:after="0" w:line="240" w:lineRule="auto"/>
              <w:jc w:val="both"/>
              <w:rPr>
                <w:rFonts w:eastAsia="Times New Roman" w:cstheme="minorHAnsi"/>
                <w:szCs w:val="20"/>
                <w:lang w:eastAsia="fr-FR"/>
              </w:rPr>
            </w:pPr>
          </w:p>
        </w:tc>
      </w:tr>
      <w:tr>
        <w:trPr>
          <w:trHeight w:val="1110"/>
        </w:trPr>
        <w:tc>
          <w:tcPr>
            <w:tcW w:w="3974" w:type="dxa"/>
            <w:shd w:val="clear" w:color="auto" w:fill="auto"/>
            <w:vAlign w:val="center"/>
          </w:tcPr>
          <w:p>
            <w:pPr>
              <w:spacing w:after="0" w:line="240" w:lineRule="auto"/>
              <w:jc w:val="both"/>
              <w:rPr>
                <w:rFonts w:eastAsia="Times New Roman" w:cstheme="minorHAnsi"/>
                <w:szCs w:val="20"/>
                <w:lang w:eastAsia="fr-FR"/>
              </w:rPr>
            </w:pPr>
            <w:r>
              <w:rPr>
                <w:rFonts w:eastAsia="Times New Roman" w:cstheme="minorHAnsi"/>
                <w:szCs w:val="20"/>
                <w:lang w:eastAsia="fr-FR"/>
              </w:rPr>
              <w:t xml:space="preserve">Niveau 2 : défaut présentant un danger pour la sécurité des personnes </w:t>
            </w:r>
            <w:r>
              <w:rPr>
                <w:rFonts w:eastAsia="Times New Roman" w:cstheme="minorHAnsi"/>
                <w:szCs w:val="20"/>
                <w:lang w:eastAsia="fr-FR"/>
              </w:rPr>
              <w:sym w:font="Wingdings" w:char="F0E0"/>
            </w:r>
            <w:r>
              <w:rPr>
                <w:rFonts w:eastAsia="Times New Roman" w:cstheme="minorHAnsi"/>
                <w:szCs w:val="20"/>
                <w:lang w:eastAsia="fr-FR"/>
              </w:rPr>
              <w:t xml:space="preserve"> intervention durant des jours et heures ouvrés (de 8 heures à 17 heures du lundi au vendredi)</w:t>
            </w:r>
          </w:p>
        </w:tc>
        <w:tc>
          <w:tcPr>
            <w:tcW w:w="2835" w:type="dxa"/>
            <w:shd w:val="clear" w:color="auto" w:fill="auto"/>
            <w:vAlign w:val="center"/>
          </w:tcPr>
          <w:p>
            <w:pPr>
              <w:spacing w:after="0" w:line="240" w:lineRule="auto"/>
              <w:jc w:val="both"/>
              <w:rPr>
                <w:rFonts w:eastAsia="Times New Roman" w:cstheme="minorHAnsi"/>
                <w:szCs w:val="20"/>
                <w:lang w:eastAsia="fr-FR"/>
              </w:rPr>
            </w:pPr>
            <w:r>
              <w:rPr>
                <w:rFonts w:eastAsia="Times New Roman" w:cstheme="minorHAnsi"/>
                <w:szCs w:val="20"/>
                <w:lang w:eastAsia="fr-FR"/>
              </w:rPr>
              <w:t xml:space="preserve">Exprimé en heure : </w:t>
            </w:r>
          </w:p>
        </w:tc>
        <w:tc>
          <w:tcPr>
            <w:tcW w:w="2263" w:type="dxa"/>
          </w:tcPr>
          <w:p>
            <w:pPr>
              <w:spacing w:after="0" w:line="240" w:lineRule="auto"/>
              <w:jc w:val="both"/>
              <w:rPr>
                <w:rFonts w:eastAsia="Times New Roman" w:cstheme="minorHAnsi"/>
                <w:szCs w:val="20"/>
                <w:lang w:eastAsia="fr-FR"/>
              </w:rPr>
            </w:pPr>
          </w:p>
        </w:tc>
      </w:tr>
      <w:tr>
        <w:trPr>
          <w:trHeight w:val="445"/>
        </w:trPr>
        <w:tc>
          <w:tcPr>
            <w:tcW w:w="3974" w:type="dxa"/>
            <w:shd w:val="clear" w:color="auto" w:fill="auto"/>
            <w:vAlign w:val="center"/>
          </w:tcPr>
          <w:p>
            <w:pPr>
              <w:spacing w:after="0" w:line="240" w:lineRule="auto"/>
              <w:jc w:val="both"/>
              <w:rPr>
                <w:rFonts w:eastAsia="Times New Roman" w:cstheme="minorHAnsi"/>
                <w:szCs w:val="20"/>
                <w:lang w:eastAsia="fr-FR"/>
              </w:rPr>
            </w:pPr>
            <w:r>
              <w:rPr>
                <w:rFonts w:eastAsia="Times New Roman" w:cstheme="minorHAnsi"/>
                <w:szCs w:val="20"/>
                <w:lang w:eastAsia="fr-FR"/>
              </w:rPr>
              <w:t xml:space="preserve">Niveau 2 : défaut présentant un danger pour la sécurité des personnes </w:t>
            </w:r>
            <w:r>
              <w:rPr>
                <w:rFonts w:eastAsia="Times New Roman" w:cstheme="minorHAnsi"/>
                <w:szCs w:val="20"/>
                <w:lang w:eastAsia="fr-FR"/>
              </w:rPr>
              <w:sym w:font="Wingdings" w:char="F0E0"/>
            </w:r>
            <w:r>
              <w:rPr>
                <w:rFonts w:eastAsia="Times New Roman" w:cstheme="minorHAnsi"/>
                <w:szCs w:val="20"/>
                <w:lang w:eastAsia="fr-FR"/>
              </w:rPr>
              <w:t xml:space="preserve"> intervention durant une période hors heure et jour ouvrés</w:t>
            </w:r>
          </w:p>
        </w:tc>
        <w:tc>
          <w:tcPr>
            <w:tcW w:w="2835" w:type="dxa"/>
            <w:shd w:val="clear" w:color="auto" w:fill="auto"/>
            <w:vAlign w:val="center"/>
          </w:tcPr>
          <w:p>
            <w:pPr>
              <w:spacing w:after="0" w:line="240" w:lineRule="auto"/>
              <w:jc w:val="both"/>
              <w:rPr>
                <w:rFonts w:eastAsia="Times New Roman" w:cstheme="minorHAnsi"/>
                <w:szCs w:val="20"/>
                <w:lang w:eastAsia="fr-FR"/>
              </w:rPr>
            </w:pPr>
            <w:r>
              <w:rPr>
                <w:rFonts w:eastAsia="Times New Roman" w:cstheme="minorHAnsi"/>
                <w:szCs w:val="20"/>
                <w:lang w:eastAsia="fr-FR"/>
              </w:rPr>
              <w:t xml:space="preserve">Exprimé en heure : </w:t>
            </w:r>
          </w:p>
        </w:tc>
        <w:tc>
          <w:tcPr>
            <w:tcW w:w="2263" w:type="dxa"/>
          </w:tcPr>
          <w:p>
            <w:pPr>
              <w:spacing w:after="0" w:line="240" w:lineRule="auto"/>
              <w:jc w:val="both"/>
              <w:rPr>
                <w:rFonts w:eastAsia="Times New Roman" w:cstheme="minorHAnsi"/>
                <w:szCs w:val="20"/>
                <w:lang w:eastAsia="fr-FR"/>
              </w:rPr>
            </w:pPr>
          </w:p>
        </w:tc>
      </w:tr>
      <w:tr>
        <w:trPr>
          <w:trHeight w:val="445"/>
        </w:trPr>
        <w:tc>
          <w:tcPr>
            <w:tcW w:w="3974" w:type="dxa"/>
            <w:shd w:val="clear" w:color="auto" w:fill="auto"/>
            <w:vAlign w:val="center"/>
          </w:tcPr>
          <w:p>
            <w:pPr>
              <w:spacing w:after="0" w:line="240" w:lineRule="auto"/>
              <w:jc w:val="both"/>
              <w:rPr>
                <w:rFonts w:eastAsia="Times New Roman" w:cstheme="minorHAnsi"/>
                <w:szCs w:val="20"/>
                <w:lang w:eastAsia="fr-FR"/>
              </w:rPr>
            </w:pPr>
            <w:r>
              <w:rPr>
                <w:rFonts w:eastAsia="Times New Roman" w:cstheme="minorHAnsi"/>
                <w:szCs w:val="20"/>
                <w:lang w:eastAsia="fr-FR"/>
              </w:rPr>
              <w:t>Niveau 3 : défaut ne présentant pas un danger pour la sécurité des personnes</w:t>
            </w:r>
          </w:p>
        </w:tc>
        <w:tc>
          <w:tcPr>
            <w:tcW w:w="2835" w:type="dxa"/>
            <w:shd w:val="clear" w:color="auto" w:fill="auto"/>
            <w:vAlign w:val="center"/>
          </w:tcPr>
          <w:p>
            <w:pPr>
              <w:spacing w:after="0" w:line="240" w:lineRule="auto"/>
              <w:jc w:val="both"/>
              <w:rPr>
                <w:rFonts w:eastAsia="Times New Roman" w:cstheme="minorHAnsi"/>
                <w:szCs w:val="20"/>
                <w:lang w:eastAsia="fr-FR"/>
              </w:rPr>
            </w:pPr>
            <w:r>
              <w:rPr>
                <w:rFonts w:eastAsia="Times New Roman" w:cstheme="minorHAnsi"/>
                <w:szCs w:val="20"/>
                <w:lang w:eastAsia="fr-FR"/>
              </w:rPr>
              <w:t xml:space="preserve">Exprimé en heure : </w:t>
            </w:r>
          </w:p>
        </w:tc>
        <w:tc>
          <w:tcPr>
            <w:tcW w:w="2263" w:type="dxa"/>
          </w:tcPr>
          <w:p>
            <w:pPr>
              <w:spacing w:after="0" w:line="240" w:lineRule="auto"/>
              <w:jc w:val="both"/>
              <w:rPr>
                <w:rFonts w:eastAsia="Times New Roman" w:cstheme="minorHAnsi"/>
                <w:szCs w:val="20"/>
                <w:lang w:eastAsia="fr-FR"/>
              </w:rPr>
            </w:pPr>
          </w:p>
        </w:tc>
      </w:tr>
      <w:tr>
        <w:trPr>
          <w:trHeight w:val="445"/>
        </w:trPr>
        <w:tc>
          <w:tcPr>
            <w:tcW w:w="9072" w:type="dxa"/>
            <w:gridSpan w:val="3"/>
            <w:shd w:val="clear" w:color="auto" w:fill="D9E2F3" w:themeFill="accent1" w:themeFillTint="33"/>
            <w:vAlign w:val="center"/>
          </w:tcPr>
          <w:p>
            <w:pPr>
              <w:spacing w:after="0" w:line="240" w:lineRule="auto"/>
              <w:jc w:val="both"/>
              <w:rPr>
                <w:rFonts w:eastAsia="Times New Roman" w:cstheme="minorHAnsi"/>
                <w:b/>
                <w:bCs/>
                <w:szCs w:val="20"/>
                <w:lang w:eastAsia="fr-FR"/>
              </w:rPr>
            </w:pPr>
            <w:r>
              <w:rPr>
                <w:rFonts w:eastAsia="Times New Roman" w:cstheme="minorHAnsi"/>
                <w:b/>
                <w:bCs/>
                <w:szCs w:val="20"/>
                <w:lang w:eastAsia="fr-FR"/>
              </w:rPr>
              <w:t>Délai de rétablissement (</w:t>
            </w:r>
            <w:r>
              <w:rPr>
                <w:rFonts w:cstheme="minorHAnsi"/>
              </w:rPr>
              <w:t>Ce délai ne peut être supérieur au délai maximum inscrit dans le CCTP (article 4.5)</w:t>
            </w:r>
          </w:p>
        </w:tc>
      </w:tr>
      <w:tr>
        <w:trPr>
          <w:trHeight w:val="445"/>
        </w:trPr>
        <w:tc>
          <w:tcPr>
            <w:tcW w:w="3974" w:type="dxa"/>
            <w:shd w:val="clear" w:color="auto" w:fill="auto"/>
            <w:vAlign w:val="center"/>
          </w:tcPr>
          <w:p>
            <w:pPr>
              <w:spacing w:after="0" w:line="240" w:lineRule="auto"/>
              <w:jc w:val="both"/>
              <w:rPr>
                <w:rFonts w:eastAsia="Times New Roman" w:cstheme="minorHAnsi"/>
                <w:szCs w:val="20"/>
                <w:lang w:eastAsia="fr-FR"/>
              </w:rPr>
            </w:pPr>
            <w:r>
              <w:rPr>
                <w:rFonts w:eastAsia="Times New Roman" w:cstheme="minorHAnsi"/>
                <w:szCs w:val="20"/>
                <w:lang w:eastAsia="fr-FR"/>
              </w:rPr>
              <w:lastRenderedPageBreak/>
              <w:t xml:space="preserve">Niveau 1 : défaut affectant la totalité du service (notamment au titre de l’obligation de bon fonctionnement du système de supervision et d’exploitation) </w:t>
            </w:r>
            <w:r>
              <w:rPr>
                <w:rFonts w:eastAsia="Times New Roman" w:cstheme="minorHAnsi"/>
                <w:szCs w:val="20"/>
                <w:lang w:eastAsia="fr-FR"/>
              </w:rPr>
              <w:sym w:font="Wingdings" w:char="F0E0"/>
            </w:r>
            <w:r>
              <w:rPr>
                <w:rFonts w:eastAsia="Times New Roman" w:cstheme="minorHAnsi"/>
                <w:szCs w:val="20"/>
                <w:lang w:eastAsia="fr-FR"/>
              </w:rPr>
              <w:t xml:space="preserve"> rétablissement durant des jours et heures ouvrés (de 8 heures à 17 heures du lundi au vendredi)</w:t>
            </w:r>
          </w:p>
        </w:tc>
        <w:tc>
          <w:tcPr>
            <w:tcW w:w="2835" w:type="dxa"/>
            <w:shd w:val="clear" w:color="auto" w:fill="auto"/>
            <w:vAlign w:val="center"/>
          </w:tcPr>
          <w:p>
            <w:pPr>
              <w:spacing w:after="0" w:line="240" w:lineRule="auto"/>
              <w:jc w:val="both"/>
              <w:rPr>
                <w:rFonts w:eastAsia="Times New Roman" w:cstheme="minorHAnsi"/>
                <w:szCs w:val="20"/>
                <w:lang w:eastAsia="fr-FR"/>
              </w:rPr>
            </w:pPr>
            <w:r>
              <w:rPr>
                <w:rFonts w:eastAsia="Times New Roman" w:cstheme="minorHAnsi"/>
                <w:szCs w:val="20"/>
                <w:lang w:eastAsia="fr-FR"/>
              </w:rPr>
              <w:t xml:space="preserve">Exprimé en heure : </w:t>
            </w:r>
          </w:p>
        </w:tc>
        <w:tc>
          <w:tcPr>
            <w:tcW w:w="2263" w:type="dxa"/>
          </w:tcPr>
          <w:p>
            <w:pPr>
              <w:spacing w:after="0" w:line="240" w:lineRule="auto"/>
              <w:jc w:val="both"/>
              <w:rPr>
                <w:rFonts w:eastAsia="Times New Roman" w:cstheme="minorHAnsi"/>
                <w:szCs w:val="20"/>
                <w:lang w:eastAsia="fr-FR"/>
              </w:rPr>
            </w:pPr>
          </w:p>
        </w:tc>
      </w:tr>
      <w:tr>
        <w:trPr>
          <w:trHeight w:val="475"/>
        </w:trPr>
        <w:tc>
          <w:tcPr>
            <w:tcW w:w="3974" w:type="dxa"/>
            <w:shd w:val="clear" w:color="auto" w:fill="auto"/>
            <w:vAlign w:val="center"/>
            <w:hideMark/>
          </w:tcPr>
          <w:p>
            <w:pPr>
              <w:spacing w:after="0" w:line="240" w:lineRule="auto"/>
              <w:jc w:val="both"/>
              <w:rPr>
                <w:rFonts w:eastAsia="Times New Roman" w:cstheme="minorHAnsi"/>
                <w:szCs w:val="20"/>
                <w:lang w:eastAsia="fr-FR"/>
              </w:rPr>
            </w:pPr>
            <w:r>
              <w:rPr>
                <w:rFonts w:eastAsia="Times New Roman" w:cstheme="minorHAnsi"/>
                <w:szCs w:val="20"/>
                <w:lang w:eastAsia="fr-FR"/>
              </w:rPr>
              <w:t xml:space="preserve">Niveau 1 : défaut affectant la totalité du service (notamment au titre de l’obligation de bon fonctionnement du système de supervision et d’exploitation) </w:t>
            </w:r>
            <w:r>
              <w:rPr>
                <w:rFonts w:eastAsia="Times New Roman" w:cstheme="minorHAnsi"/>
                <w:szCs w:val="20"/>
                <w:lang w:eastAsia="fr-FR"/>
              </w:rPr>
              <w:sym w:font="Wingdings" w:char="F0E0"/>
            </w:r>
            <w:r>
              <w:rPr>
                <w:rFonts w:eastAsia="Times New Roman" w:cstheme="minorHAnsi"/>
                <w:szCs w:val="20"/>
                <w:lang w:eastAsia="fr-FR"/>
              </w:rPr>
              <w:t xml:space="preserve"> rétablissement durant une période hors heure et jour ouvrés</w:t>
            </w:r>
          </w:p>
        </w:tc>
        <w:tc>
          <w:tcPr>
            <w:tcW w:w="2835" w:type="dxa"/>
            <w:shd w:val="clear" w:color="auto" w:fill="auto"/>
            <w:vAlign w:val="center"/>
            <w:hideMark/>
          </w:tcPr>
          <w:p>
            <w:pPr>
              <w:spacing w:after="0" w:line="240" w:lineRule="auto"/>
              <w:jc w:val="both"/>
              <w:rPr>
                <w:rFonts w:eastAsia="Times New Roman" w:cstheme="minorHAnsi"/>
                <w:szCs w:val="20"/>
                <w:lang w:eastAsia="fr-FR"/>
              </w:rPr>
            </w:pPr>
            <w:r>
              <w:rPr>
                <w:rFonts w:eastAsia="Times New Roman" w:cstheme="minorHAnsi"/>
                <w:szCs w:val="20"/>
                <w:lang w:eastAsia="fr-FR"/>
              </w:rPr>
              <w:t xml:space="preserve">Exprimé en heure : </w:t>
            </w:r>
          </w:p>
        </w:tc>
        <w:tc>
          <w:tcPr>
            <w:tcW w:w="2263" w:type="dxa"/>
          </w:tcPr>
          <w:p>
            <w:pPr>
              <w:spacing w:after="0" w:line="240" w:lineRule="auto"/>
              <w:jc w:val="both"/>
              <w:rPr>
                <w:rFonts w:eastAsia="Times New Roman" w:cstheme="minorHAnsi"/>
                <w:szCs w:val="20"/>
                <w:lang w:eastAsia="fr-FR"/>
              </w:rPr>
            </w:pPr>
          </w:p>
        </w:tc>
      </w:tr>
      <w:tr>
        <w:trPr>
          <w:trHeight w:val="569"/>
        </w:trPr>
        <w:tc>
          <w:tcPr>
            <w:tcW w:w="3974" w:type="dxa"/>
            <w:vMerge w:val="restart"/>
            <w:shd w:val="clear" w:color="auto" w:fill="auto"/>
            <w:vAlign w:val="center"/>
            <w:hideMark/>
          </w:tcPr>
          <w:p>
            <w:pPr>
              <w:spacing w:after="0"/>
              <w:jc w:val="both"/>
              <w:rPr>
                <w:rFonts w:eastAsia="Times New Roman" w:cstheme="minorHAnsi"/>
                <w:lang w:eastAsia="fr-FR"/>
              </w:rPr>
            </w:pPr>
            <w:r>
              <w:rPr>
                <w:rFonts w:eastAsia="Times New Roman" w:cstheme="minorHAnsi"/>
                <w:szCs w:val="20"/>
                <w:lang w:eastAsia="fr-FR"/>
              </w:rPr>
              <w:t>Niveau 2 : défaut affectant un ou plusieurs IRVE, sans changement de pièce nécessaire</w:t>
            </w:r>
          </w:p>
        </w:tc>
        <w:tc>
          <w:tcPr>
            <w:tcW w:w="2835" w:type="dxa"/>
            <w:shd w:val="clear" w:color="auto" w:fill="auto"/>
            <w:vAlign w:val="center"/>
            <w:hideMark/>
          </w:tcPr>
          <w:p>
            <w:pPr>
              <w:spacing w:after="0" w:line="240" w:lineRule="auto"/>
              <w:jc w:val="both"/>
              <w:rPr>
                <w:rFonts w:eastAsia="Times New Roman" w:cstheme="minorHAnsi"/>
                <w:szCs w:val="20"/>
                <w:lang w:eastAsia="fr-FR"/>
              </w:rPr>
            </w:pPr>
            <w:r>
              <w:rPr>
                <w:rFonts w:eastAsia="Times New Roman" w:cstheme="minorHAnsi"/>
                <w:szCs w:val="20"/>
                <w:lang w:eastAsia="fr-FR"/>
              </w:rPr>
              <w:t xml:space="preserve">Si le défaut affecte moins de 60 % des points de charge de la station de recharge concernée (exprimé en heure) : </w:t>
            </w:r>
          </w:p>
        </w:tc>
        <w:tc>
          <w:tcPr>
            <w:tcW w:w="2263" w:type="dxa"/>
          </w:tcPr>
          <w:p>
            <w:pPr>
              <w:spacing w:after="0" w:line="240" w:lineRule="auto"/>
              <w:jc w:val="both"/>
              <w:rPr>
                <w:rFonts w:eastAsia="Times New Roman" w:cstheme="minorHAnsi"/>
                <w:szCs w:val="20"/>
                <w:lang w:eastAsia="fr-FR"/>
              </w:rPr>
            </w:pPr>
          </w:p>
        </w:tc>
      </w:tr>
      <w:tr>
        <w:trPr>
          <w:trHeight w:val="557"/>
        </w:trPr>
        <w:tc>
          <w:tcPr>
            <w:tcW w:w="3974" w:type="dxa"/>
            <w:vMerge/>
            <w:shd w:val="clear" w:color="auto" w:fill="auto"/>
            <w:vAlign w:val="center"/>
            <w:hideMark/>
          </w:tcPr>
          <w:p>
            <w:pPr>
              <w:spacing w:after="0" w:line="240" w:lineRule="auto"/>
              <w:jc w:val="both"/>
              <w:rPr>
                <w:rFonts w:eastAsia="Times New Roman" w:cstheme="minorHAnsi"/>
                <w:szCs w:val="20"/>
                <w:lang w:eastAsia="fr-FR"/>
              </w:rPr>
            </w:pPr>
          </w:p>
        </w:tc>
        <w:tc>
          <w:tcPr>
            <w:tcW w:w="2835" w:type="dxa"/>
            <w:shd w:val="clear" w:color="auto" w:fill="auto"/>
            <w:vAlign w:val="center"/>
            <w:hideMark/>
          </w:tcPr>
          <w:p>
            <w:pPr>
              <w:spacing w:after="0" w:line="240" w:lineRule="auto"/>
              <w:jc w:val="both"/>
              <w:rPr>
                <w:rFonts w:eastAsia="Times New Roman" w:cstheme="minorHAnsi"/>
                <w:szCs w:val="20"/>
                <w:lang w:eastAsia="fr-FR"/>
              </w:rPr>
            </w:pPr>
            <w:r>
              <w:rPr>
                <w:rFonts w:eastAsia="Times New Roman" w:cstheme="minorHAnsi"/>
                <w:szCs w:val="20"/>
                <w:lang w:eastAsia="fr-FR"/>
              </w:rPr>
              <w:t xml:space="preserve">Si le défaut affecte 60 % ou plus des points de charge de la station de recharge concernée (exprimé en heure) : </w:t>
            </w:r>
          </w:p>
        </w:tc>
        <w:tc>
          <w:tcPr>
            <w:tcW w:w="2263" w:type="dxa"/>
          </w:tcPr>
          <w:p>
            <w:pPr>
              <w:spacing w:after="0" w:line="240" w:lineRule="auto"/>
              <w:jc w:val="both"/>
              <w:rPr>
                <w:rFonts w:eastAsia="Times New Roman" w:cstheme="minorHAnsi"/>
                <w:szCs w:val="20"/>
                <w:lang w:eastAsia="fr-FR"/>
              </w:rPr>
            </w:pPr>
          </w:p>
        </w:tc>
      </w:tr>
      <w:tr>
        <w:trPr>
          <w:trHeight w:val="557"/>
        </w:trPr>
        <w:tc>
          <w:tcPr>
            <w:tcW w:w="3974" w:type="dxa"/>
            <w:vMerge w:val="restart"/>
            <w:shd w:val="clear" w:color="auto" w:fill="auto"/>
            <w:vAlign w:val="center"/>
          </w:tcPr>
          <w:p>
            <w:pPr>
              <w:spacing w:after="0" w:line="240" w:lineRule="auto"/>
              <w:jc w:val="both"/>
              <w:rPr>
                <w:rFonts w:eastAsia="Times New Roman" w:cstheme="minorHAnsi"/>
                <w:szCs w:val="20"/>
                <w:lang w:eastAsia="fr-FR"/>
              </w:rPr>
            </w:pPr>
            <w:r>
              <w:rPr>
                <w:rFonts w:eastAsia="Times New Roman" w:cstheme="minorHAnsi"/>
                <w:szCs w:val="20"/>
                <w:lang w:eastAsia="fr-FR"/>
              </w:rPr>
              <w:t>Niveau 3 : défaut affectant une ou plusieurs IRVE, avec changement de pièce nécessaire mais sans remplacement de l’IRVE</w:t>
            </w:r>
          </w:p>
        </w:tc>
        <w:tc>
          <w:tcPr>
            <w:tcW w:w="2835" w:type="dxa"/>
            <w:shd w:val="clear" w:color="auto" w:fill="auto"/>
            <w:vAlign w:val="center"/>
          </w:tcPr>
          <w:p>
            <w:pPr>
              <w:spacing w:after="0" w:line="240" w:lineRule="auto"/>
              <w:jc w:val="both"/>
              <w:rPr>
                <w:rFonts w:eastAsia="Times New Roman" w:cstheme="minorHAnsi"/>
                <w:szCs w:val="20"/>
                <w:lang w:eastAsia="fr-FR"/>
              </w:rPr>
            </w:pPr>
            <w:r>
              <w:rPr>
                <w:rFonts w:eastAsia="Times New Roman" w:cstheme="minorHAnsi"/>
                <w:szCs w:val="20"/>
                <w:lang w:eastAsia="fr-FR"/>
              </w:rPr>
              <w:t xml:space="preserve">Si le défaut affecte moins de 60 % des points de charge de la station de recharge concernée (exprimé en heure) : </w:t>
            </w:r>
          </w:p>
        </w:tc>
        <w:tc>
          <w:tcPr>
            <w:tcW w:w="2263" w:type="dxa"/>
          </w:tcPr>
          <w:p>
            <w:pPr>
              <w:spacing w:after="0" w:line="240" w:lineRule="auto"/>
              <w:jc w:val="both"/>
              <w:rPr>
                <w:rFonts w:eastAsia="Times New Roman" w:cstheme="minorHAnsi"/>
                <w:szCs w:val="20"/>
                <w:lang w:eastAsia="fr-FR"/>
              </w:rPr>
            </w:pPr>
          </w:p>
        </w:tc>
      </w:tr>
      <w:tr>
        <w:trPr>
          <w:trHeight w:val="557"/>
        </w:trPr>
        <w:tc>
          <w:tcPr>
            <w:tcW w:w="3974" w:type="dxa"/>
            <w:vMerge/>
            <w:shd w:val="clear" w:color="auto" w:fill="auto"/>
            <w:vAlign w:val="center"/>
          </w:tcPr>
          <w:p>
            <w:pPr>
              <w:spacing w:after="0" w:line="240" w:lineRule="auto"/>
              <w:jc w:val="both"/>
              <w:rPr>
                <w:rFonts w:eastAsia="Times New Roman" w:cstheme="minorHAnsi"/>
                <w:szCs w:val="20"/>
                <w:lang w:eastAsia="fr-FR"/>
              </w:rPr>
            </w:pPr>
          </w:p>
        </w:tc>
        <w:tc>
          <w:tcPr>
            <w:tcW w:w="2835" w:type="dxa"/>
            <w:shd w:val="clear" w:color="auto" w:fill="auto"/>
            <w:vAlign w:val="center"/>
          </w:tcPr>
          <w:p>
            <w:pPr>
              <w:spacing w:after="0" w:line="240" w:lineRule="auto"/>
              <w:jc w:val="both"/>
              <w:rPr>
                <w:rFonts w:eastAsia="Times New Roman" w:cstheme="minorHAnsi"/>
                <w:szCs w:val="20"/>
                <w:lang w:eastAsia="fr-FR"/>
              </w:rPr>
            </w:pPr>
            <w:r>
              <w:rPr>
                <w:rFonts w:eastAsia="Times New Roman" w:cstheme="minorHAnsi"/>
                <w:szCs w:val="20"/>
                <w:lang w:eastAsia="fr-FR"/>
              </w:rPr>
              <w:t xml:space="preserve">Si le défaut affecte 60 % ou plus des points de charge de la station de recharge concernée (exprimé en heure) : </w:t>
            </w:r>
          </w:p>
        </w:tc>
        <w:tc>
          <w:tcPr>
            <w:tcW w:w="2263" w:type="dxa"/>
          </w:tcPr>
          <w:p>
            <w:pPr>
              <w:spacing w:after="0" w:line="240" w:lineRule="auto"/>
              <w:jc w:val="both"/>
              <w:rPr>
                <w:rFonts w:eastAsia="Times New Roman" w:cstheme="minorHAnsi"/>
                <w:szCs w:val="20"/>
                <w:lang w:eastAsia="fr-FR"/>
              </w:rPr>
            </w:pPr>
          </w:p>
        </w:tc>
      </w:tr>
      <w:tr>
        <w:trPr>
          <w:trHeight w:val="557"/>
        </w:trPr>
        <w:tc>
          <w:tcPr>
            <w:tcW w:w="3974" w:type="dxa"/>
            <w:vMerge w:val="restart"/>
            <w:shd w:val="clear" w:color="auto" w:fill="auto"/>
            <w:vAlign w:val="center"/>
          </w:tcPr>
          <w:p>
            <w:pPr>
              <w:spacing w:after="0" w:line="240" w:lineRule="auto"/>
              <w:jc w:val="both"/>
              <w:rPr>
                <w:rFonts w:eastAsia="Times New Roman" w:cstheme="minorHAnsi"/>
                <w:szCs w:val="20"/>
                <w:lang w:eastAsia="fr-FR"/>
              </w:rPr>
            </w:pPr>
            <w:r>
              <w:rPr>
                <w:rFonts w:eastAsia="Times New Roman" w:cstheme="minorHAnsi"/>
                <w:szCs w:val="20"/>
                <w:lang w:eastAsia="fr-FR"/>
              </w:rPr>
              <w:t>Niveau 4 : défaut affectant une ou plusieurs bornes de recharge, avec remplacement de la borne</w:t>
            </w:r>
          </w:p>
        </w:tc>
        <w:tc>
          <w:tcPr>
            <w:tcW w:w="2835" w:type="dxa"/>
            <w:shd w:val="clear" w:color="auto" w:fill="auto"/>
            <w:vAlign w:val="center"/>
          </w:tcPr>
          <w:p>
            <w:pPr>
              <w:spacing w:after="0" w:line="240" w:lineRule="auto"/>
              <w:jc w:val="both"/>
              <w:rPr>
                <w:rFonts w:eastAsia="Times New Roman" w:cstheme="minorHAnsi"/>
                <w:szCs w:val="20"/>
                <w:lang w:eastAsia="fr-FR"/>
              </w:rPr>
            </w:pPr>
            <w:r>
              <w:rPr>
                <w:rFonts w:eastAsia="Times New Roman" w:cstheme="minorHAnsi"/>
                <w:szCs w:val="20"/>
                <w:lang w:eastAsia="fr-FR"/>
              </w:rPr>
              <w:t xml:space="preserve">Si le défaut affecte moins de 60 % des points de charge de la station de recharge concernée (exprimé en heure) : </w:t>
            </w:r>
          </w:p>
        </w:tc>
        <w:tc>
          <w:tcPr>
            <w:tcW w:w="2263" w:type="dxa"/>
          </w:tcPr>
          <w:p>
            <w:pPr>
              <w:spacing w:after="0" w:line="240" w:lineRule="auto"/>
              <w:jc w:val="both"/>
              <w:rPr>
                <w:rFonts w:eastAsia="Times New Roman" w:cstheme="minorHAnsi"/>
                <w:szCs w:val="20"/>
                <w:lang w:eastAsia="fr-FR"/>
              </w:rPr>
            </w:pPr>
          </w:p>
        </w:tc>
      </w:tr>
      <w:tr>
        <w:trPr>
          <w:trHeight w:val="557"/>
        </w:trPr>
        <w:tc>
          <w:tcPr>
            <w:tcW w:w="3974" w:type="dxa"/>
            <w:vMerge/>
            <w:shd w:val="clear" w:color="auto" w:fill="auto"/>
            <w:vAlign w:val="center"/>
          </w:tcPr>
          <w:p>
            <w:pPr>
              <w:spacing w:after="0" w:line="240" w:lineRule="auto"/>
              <w:jc w:val="both"/>
              <w:rPr>
                <w:rFonts w:eastAsia="Times New Roman" w:cstheme="minorHAnsi"/>
                <w:szCs w:val="20"/>
                <w:lang w:eastAsia="fr-FR"/>
              </w:rPr>
            </w:pPr>
          </w:p>
        </w:tc>
        <w:tc>
          <w:tcPr>
            <w:tcW w:w="2835" w:type="dxa"/>
            <w:shd w:val="clear" w:color="auto" w:fill="auto"/>
            <w:vAlign w:val="center"/>
          </w:tcPr>
          <w:p>
            <w:pPr>
              <w:spacing w:after="0" w:line="240" w:lineRule="auto"/>
              <w:jc w:val="both"/>
              <w:rPr>
                <w:rFonts w:eastAsia="Times New Roman" w:cstheme="minorHAnsi"/>
                <w:szCs w:val="20"/>
                <w:lang w:eastAsia="fr-FR"/>
              </w:rPr>
            </w:pPr>
            <w:r>
              <w:rPr>
                <w:rFonts w:eastAsia="Times New Roman" w:cstheme="minorHAnsi"/>
                <w:szCs w:val="20"/>
                <w:lang w:eastAsia="fr-FR"/>
              </w:rPr>
              <w:t xml:space="preserve">Si le défaut affecte 60 % ou plus des points de charge de la station de recharge concernée (exprimé en heure) : </w:t>
            </w:r>
          </w:p>
        </w:tc>
        <w:tc>
          <w:tcPr>
            <w:tcW w:w="2263" w:type="dxa"/>
          </w:tcPr>
          <w:p>
            <w:pPr>
              <w:spacing w:after="0" w:line="240" w:lineRule="auto"/>
              <w:jc w:val="both"/>
              <w:rPr>
                <w:rFonts w:eastAsia="Times New Roman" w:cstheme="minorHAnsi"/>
                <w:szCs w:val="20"/>
                <w:lang w:eastAsia="fr-FR"/>
              </w:rPr>
            </w:pPr>
          </w:p>
        </w:tc>
      </w:tr>
    </w:tbl>
    <w:p>
      <w:pPr>
        <w:spacing w:after="0" w:line="240" w:lineRule="auto"/>
        <w:jc w:val="both"/>
        <w:rPr>
          <w:rFonts w:cstheme="minorHAnsi"/>
          <w:u w:val="single"/>
        </w:rPr>
      </w:pPr>
    </w:p>
    <w:p>
      <w:pPr>
        <w:spacing w:after="0"/>
        <w:ind w:left="360"/>
        <w:jc w:val="both"/>
        <w:rPr>
          <w:rFonts w:cstheme="minorHAnsi"/>
          <w:u w:val="single"/>
        </w:rPr>
      </w:pPr>
    </w:p>
    <w:p>
      <w:pPr>
        <w:spacing w:after="0"/>
        <w:jc w:val="both"/>
        <w:rPr>
          <w:rFonts w:cstheme="minorHAnsi"/>
          <w:u w:val="single"/>
        </w:rPr>
      </w:pPr>
      <w:r>
        <w:rPr>
          <w:rFonts w:cstheme="minorHAnsi"/>
          <w:u w:val="single"/>
        </w:rPr>
        <w:t>Méthodologie pour la prise en charge des installations existantes</w:t>
      </w:r>
    </w:p>
    <w:p>
      <w:pPr>
        <w:pStyle w:val="Paragraphedeliste"/>
        <w:numPr>
          <w:ilvl w:val="0"/>
          <w:numId w:val="6"/>
        </w:numPr>
        <w:spacing w:before="100" w:beforeAutospacing="1" w:after="0" w:line="240" w:lineRule="auto"/>
        <w:jc w:val="both"/>
        <w:rPr>
          <w:rFonts w:eastAsia="Times New Roman" w:cstheme="minorHAnsi"/>
          <w:b/>
          <w:bCs/>
          <w:sz w:val="28"/>
          <w:szCs w:val="28"/>
          <w:lang w:eastAsia="fr-FR"/>
        </w:rPr>
      </w:pPr>
      <w:r>
        <w:rPr>
          <w:rFonts w:eastAsia="Times New Roman" w:cstheme="minorHAnsi"/>
          <w:color w:val="000000"/>
          <w:lang w:eastAsia="fr-FR"/>
        </w:rPr>
        <w:t>Description de la méthodologie de prise en charge des installations existantes (intégration des installations existantes dans le périmètre des opérations de maintenance, recommandation pour permettre l’évolution ou la mise à jour des bornes).</w:t>
      </w:r>
    </w:p>
    <w:p>
      <w:pPr>
        <w:spacing w:after="0"/>
        <w:ind w:left="360"/>
        <w:jc w:val="both"/>
        <w:rPr>
          <w:rFonts w:cstheme="minorHAnsi"/>
          <w:b/>
          <w:bCs/>
        </w:rPr>
      </w:pPr>
      <w:r>
        <w:rPr>
          <w:rFonts w:cstheme="minorHAnsi"/>
          <w:b/>
          <w:bCs/>
        </w:rPr>
        <w:t>……………………………………………………………………………………………………………………………………………………………………………………………………………………………………………………………………………………………………</w:t>
      </w:r>
    </w:p>
    <w:p>
      <w:pPr>
        <w:spacing w:after="0"/>
        <w:jc w:val="both"/>
        <w:rPr>
          <w:rFonts w:cstheme="minorHAnsi"/>
          <w:u w:val="single"/>
        </w:rPr>
      </w:pPr>
    </w:p>
    <w:p>
      <w:pPr>
        <w:pStyle w:val="Paragraphedeliste"/>
        <w:widowControl w:val="0"/>
        <w:numPr>
          <w:ilvl w:val="0"/>
          <w:numId w:val="6"/>
        </w:numPr>
        <w:suppressAutoHyphens/>
        <w:autoSpaceDN w:val="0"/>
        <w:spacing w:after="0" w:line="341" w:lineRule="auto"/>
        <w:ind w:right="-28"/>
        <w:jc w:val="both"/>
        <w:textAlignment w:val="baseline"/>
        <w:rPr>
          <w:rFonts w:eastAsia="Times New Roman" w:cstheme="minorHAnsi"/>
          <w:color w:val="000000"/>
          <w:lang w:eastAsia="fr-FR"/>
        </w:rPr>
      </w:pPr>
      <w:r>
        <w:rPr>
          <w:rFonts w:eastAsia="Times New Roman" w:cstheme="minorHAnsi"/>
          <w:color w:val="000000"/>
          <w:lang w:eastAsia="fr-FR"/>
        </w:rPr>
        <w:t xml:space="preserve">Description de la chaîne logistique pour assurer la livraison des pièces de rechange pour les </w:t>
      </w:r>
      <w:r>
        <w:rPr>
          <w:rFonts w:eastAsia="Times New Roman" w:cstheme="minorHAnsi"/>
          <w:color w:val="000000"/>
          <w:lang w:eastAsia="fr-FR"/>
        </w:rPr>
        <w:lastRenderedPageBreak/>
        <w:t>marques de différents fabricants</w:t>
      </w:r>
    </w:p>
    <w:p>
      <w:pPr>
        <w:spacing w:after="0"/>
        <w:ind w:left="360"/>
        <w:jc w:val="both"/>
        <w:rPr>
          <w:rFonts w:cstheme="minorHAnsi"/>
          <w:b/>
          <w:bCs/>
        </w:rPr>
      </w:pPr>
      <w:r>
        <w:rPr>
          <w:rFonts w:cstheme="minorHAnsi"/>
          <w:b/>
          <w:bCs/>
        </w:rPr>
        <w:t>……………………………………………………………………………………………………………………………………………………………………………………………………………………………………………………………………………………………………</w:t>
      </w:r>
    </w:p>
    <w:p>
      <w:pPr>
        <w:spacing w:after="0"/>
        <w:ind w:left="360"/>
        <w:jc w:val="both"/>
        <w:rPr>
          <w:rFonts w:cstheme="minorHAnsi"/>
        </w:rPr>
      </w:pPr>
    </w:p>
    <w:p>
      <w:pPr>
        <w:spacing w:after="0"/>
        <w:jc w:val="both"/>
        <w:rPr>
          <w:rFonts w:cstheme="minorHAnsi"/>
          <w:b/>
          <w:bCs/>
        </w:rPr>
      </w:pPr>
      <w:r>
        <w:rPr>
          <w:rFonts w:cstheme="minorHAnsi"/>
          <w:b/>
          <w:bCs/>
        </w:rPr>
        <w:t>Fonctionnalités et performance du système de supervision – 10%</w:t>
      </w:r>
    </w:p>
    <w:p>
      <w:pPr>
        <w:spacing w:after="0"/>
        <w:jc w:val="both"/>
        <w:rPr>
          <w:rFonts w:cstheme="minorHAnsi"/>
          <w:b/>
          <w:bCs/>
        </w:rPr>
      </w:pPr>
    </w:p>
    <w:p>
      <w:pPr>
        <w:spacing w:after="0"/>
        <w:jc w:val="both"/>
        <w:rPr>
          <w:rFonts w:cstheme="minorHAnsi"/>
          <w:u w:val="single"/>
        </w:rPr>
      </w:pPr>
      <w:r>
        <w:rPr>
          <w:rFonts w:cstheme="minorHAnsi"/>
          <w:u w:val="single"/>
        </w:rPr>
        <w:t xml:space="preserve">Qualité de l’ergonomie de l’outil de supervision </w:t>
      </w:r>
    </w:p>
    <w:p>
      <w:pPr>
        <w:pStyle w:val="Paragraphedeliste"/>
        <w:widowControl w:val="0"/>
        <w:numPr>
          <w:ilvl w:val="0"/>
          <w:numId w:val="22"/>
        </w:numPr>
        <w:suppressAutoHyphens/>
        <w:autoSpaceDN w:val="0"/>
        <w:spacing w:before="100" w:beforeAutospacing="1" w:after="0" w:line="240" w:lineRule="auto"/>
        <w:ind w:right="-29"/>
        <w:jc w:val="both"/>
        <w:textAlignment w:val="baseline"/>
        <w:rPr>
          <w:rFonts w:eastAsia="Times New Roman" w:cstheme="minorHAnsi"/>
          <w:color w:val="000000"/>
          <w:lang w:eastAsia="fr-FR"/>
        </w:rPr>
      </w:pPr>
      <w:r>
        <w:rPr>
          <w:rFonts w:eastAsia="Times New Roman" w:cstheme="minorHAnsi"/>
          <w:color w:val="000000"/>
          <w:lang w:eastAsia="fr-FR"/>
        </w:rPr>
        <w:t>Le candidat présente les fonctionnalités disponibles (site, gestion des points de charge, des profils, des réservation, tableaux de bord, application, types de notifications, moyens de paiement, fonctionnalités d'équilibrage de charge, gestion des pics de consommation, A l’appui de cette présentation, le candidat fournit un lien vers une page de démonstration de l’outil de supervision et décrire le mode de transmission et la fréquence des rapports générés par l’outil</w:t>
      </w:r>
    </w:p>
    <w:p>
      <w:pPr>
        <w:pStyle w:val="Paragraphedeliste"/>
        <w:widowControl w:val="0"/>
        <w:suppressAutoHyphens/>
        <w:autoSpaceDN w:val="0"/>
        <w:spacing w:before="100" w:beforeAutospacing="1" w:after="0" w:line="240" w:lineRule="auto"/>
        <w:ind w:left="426" w:right="-29"/>
        <w:jc w:val="both"/>
        <w:textAlignment w:val="baseline"/>
        <w:rPr>
          <w:rFonts w:eastAsia="Times New Roman" w:cstheme="minorHAnsi"/>
          <w:b/>
          <w:bCs/>
          <w:color w:val="000000"/>
          <w:sz w:val="20"/>
          <w:szCs w:val="20"/>
          <w:lang w:eastAsia="fr-FR"/>
        </w:rPr>
      </w:pPr>
      <w:r>
        <w:rPr>
          <w:rFonts w:eastAsia="Times New Roman" w:cstheme="minorHAnsi"/>
          <w:b/>
          <w:bCs/>
          <w:color w:val="000000"/>
          <w:sz w:val="20"/>
          <w:szCs w:val="20"/>
          <w:lang w:eastAsia="fr-FR"/>
        </w:rPr>
        <w:t>…………………………………………………………………………………………………………………………………………………………………………………………………………………………………………………………………………………………………………………….</w:t>
      </w:r>
    </w:p>
    <w:p>
      <w:pPr>
        <w:pStyle w:val="Paragraphedeliste"/>
        <w:widowControl w:val="0"/>
        <w:suppressAutoHyphens/>
        <w:autoSpaceDN w:val="0"/>
        <w:spacing w:before="100" w:beforeAutospacing="1" w:after="0" w:line="240" w:lineRule="auto"/>
        <w:ind w:right="-29"/>
        <w:jc w:val="both"/>
        <w:textAlignment w:val="baseline"/>
        <w:rPr>
          <w:rFonts w:eastAsia="Times New Roman" w:cstheme="minorHAnsi"/>
          <w:color w:val="000000"/>
          <w:sz w:val="20"/>
          <w:szCs w:val="20"/>
          <w:lang w:eastAsia="fr-FR"/>
        </w:rPr>
      </w:pPr>
    </w:p>
    <w:p>
      <w:pPr>
        <w:pStyle w:val="Paragraphedeliste"/>
        <w:widowControl w:val="0"/>
        <w:suppressAutoHyphens/>
        <w:autoSpaceDN w:val="0"/>
        <w:spacing w:before="100" w:beforeAutospacing="1" w:after="0" w:line="240" w:lineRule="auto"/>
        <w:ind w:right="-29"/>
        <w:jc w:val="both"/>
        <w:textAlignment w:val="baseline"/>
        <w:rPr>
          <w:rFonts w:eastAsia="Times New Roman" w:cstheme="minorHAnsi"/>
          <w:color w:val="000000"/>
          <w:lang w:eastAsia="fr-FR"/>
        </w:rPr>
      </w:pPr>
      <w:r>
        <w:rPr>
          <w:rFonts w:eastAsia="Times New Roman" w:cstheme="minorHAnsi"/>
          <w:color w:val="000000"/>
          <w:lang w:eastAsia="fr-FR"/>
        </w:rPr>
        <w:t xml:space="preserve">- Le candidat mentionne la possibilité de communiquer avec une interface de programmation d’application (API REST) afin de pouvoir échanger des données avec une application de suivi interne. </w:t>
      </w:r>
    </w:p>
    <w:p>
      <w:pPr>
        <w:pStyle w:val="Paragraphedeliste"/>
        <w:widowControl w:val="0"/>
        <w:suppressAutoHyphens/>
        <w:autoSpaceDN w:val="0"/>
        <w:spacing w:before="100" w:beforeAutospacing="1" w:after="0" w:line="240" w:lineRule="auto"/>
        <w:ind w:left="426" w:right="-29"/>
        <w:jc w:val="both"/>
        <w:textAlignment w:val="baseline"/>
        <w:rPr>
          <w:rFonts w:eastAsia="Times New Roman" w:cstheme="minorHAnsi"/>
          <w:b/>
          <w:bCs/>
          <w:color w:val="000000"/>
          <w:lang w:eastAsia="fr-FR"/>
        </w:rPr>
      </w:pPr>
      <w:r>
        <w:rPr>
          <w:rFonts w:eastAsia="Times New Roman" w:cstheme="minorHAnsi"/>
          <w:b/>
          <w:bCs/>
          <w:color w:val="000000"/>
          <w:lang w:eastAsia="fr-FR"/>
        </w:rPr>
        <w:t>………………………………………………………………………………………………………………………………………………………………………………………………………………………….</w:t>
      </w:r>
      <w:r>
        <w:rPr>
          <w:rFonts w:eastAsia="Times New Roman" w:cstheme="minorHAnsi"/>
          <w:b/>
          <w:bCs/>
          <w:color w:val="000000"/>
          <w:lang w:eastAsia="fr-FR"/>
        </w:rPr>
        <w:t>………………………………………………………</w:t>
      </w:r>
      <w:r>
        <w:rPr>
          <w:rFonts w:eastAsia="Times New Roman" w:cstheme="minorHAnsi"/>
          <w:b/>
          <w:bCs/>
          <w:color w:val="000000"/>
          <w:lang w:eastAsia="fr-FR"/>
        </w:rPr>
        <w:t>……………….</w:t>
      </w:r>
    </w:p>
    <w:p>
      <w:pPr>
        <w:widowControl w:val="0"/>
        <w:suppressAutoHyphens/>
        <w:autoSpaceDN w:val="0"/>
        <w:spacing w:before="100" w:beforeAutospacing="1" w:after="0" w:line="240" w:lineRule="auto"/>
        <w:ind w:right="-29"/>
        <w:jc w:val="both"/>
        <w:textAlignment w:val="baseline"/>
        <w:rPr>
          <w:rFonts w:eastAsia="Times New Roman" w:cstheme="minorHAnsi"/>
          <w:color w:val="000000"/>
          <w:sz w:val="20"/>
          <w:szCs w:val="20"/>
          <w:lang w:eastAsia="fr-FR"/>
        </w:rPr>
      </w:pPr>
      <w:r>
        <w:rPr>
          <w:rFonts w:cstheme="minorHAnsi"/>
          <w:u w:val="single"/>
        </w:rPr>
        <w:t>Respect des exigences de sécurité</w:t>
      </w:r>
    </w:p>
    <w:p>
      <w:pPr>
        <w:numPr>
          <w:ilvl w:val="0"/>
          <w:numId w:val="6"/>
        </w:numPr>
        <w:spacing w:before="100" w:beforeAutospacing="1" w:after="0" w:line="240" w:lineRule="auto"/>
        <w:jc w:val="both"/>
        <w:rPr>
          <w:rFonts w:eastAsia="Times New Roman" w:cstheme="minorHAnsi"/>
          <w:color w:val="000000"/>
          <w:lang w:eastAsia="fr-FR"/>
        </w:rPr>
      </w:pPr>
      <w:r>
        <w:rPr>
          <w:rFonts w:eastAsia="Times New Roman" w:cstheme="minorHAnsi"/>
          <w:color w:val="000000"/>
          <w:lang w:eastAsia="fr-FR"/>
        </w:rPr>
        <w:t>L</w:t>
      </w:r>
      <w:r>
        <w:rPr>
          <w:rFonts w:eastAsia="Times New Roman" w:cstheme="minorHAnsi"/>
          <w:szCs w:val="28"/>
          <w:lang w:eastAsia="fr-FR"/>
        </w:rPr>
        <w:t>e candidat décrit l’ensemble des mesures de sécurité informatique qu’il met en œuvre concernant :</w:t>
      </w:r>
    </w:p>
    <w:p>
      <w:pPr>
        <w:pStyle w:val="Paragraphedeliste"/>
        <w:numPr>
          <w:ilvl w:val="0"/>
          <w:numId w:val="16"/>
        </w:numPr>
        <w:spacing w:before="100" w:beforeAutospacing="1" w:after="0" w:line="240" w:lineRule="auto"/>
        <w:jc w:val="both"/>
        <w:rPr>
          <w:rFonts w:eastAsia="Times New Roman" w:cstheme="minorHAnsi"/>
          <w:color w:val="000000"/>
          <w:lang w:eastAsia="fr-FR"/>
        </w:rPr>
      </w:pPr>
      <w:bookmarkStart w:id="2" w:name="_Hlk179467857"/>
      <w:r>
        <w:rPr>
          <w:rFonts w:eastAsia="Times New Roman" w:cstheme="minorHAnsi"/>
          <w:color w:val="000000"/>
          <w:lang w:eastAsia="fr-FR"/>
        </w:rPr>
        <w:t xml:space="preserve">L’hébergement de la solution de supervision </w:t>
      </w:r>
    </w:p>
    <w:bookmarkEnd w:id="2"/>
    <w:p>
      <w:pPr>
        <w:spacing w:after="0" w:line="264" w:lineRule="auto"/>
        <w:ind w:left="360"/>
        <w:contextualSpacing/>
        <w:jc w:val="both"/>
        <w:rPr>
          <w:rFonts w:eastAsia="Times New Roman" w:cstheme="minorHAnsi"/>
          <w:color w:val="000000"/>
          <w:lang w:eastAsia="fr-FR"/>
        </w:rPr>
      </w:pPr>
      <w:r>
        <w:rPr>
          <w:rFonts w:eastAsia="Times New Roman" w:cstheme="minorHAnsi"/>
          <w:color w:val="000000"/>
          <w:lang w:eastAsia="fr-FR"/>
        </w:rPr>
        <w:t>Le candidat joint un schéma d’architecture présentant les différents sites, serveurs, sauvegardes, les hébergeurs et lieux des hébergements, les mesures de protections techniques en place (ce schéma peut être simplifié).</w:t>
      </w:r>
    </w:p>
    <w:p>
      <w:pPr>
        <w:spacing w:before="100" w:beforeAutospacing="1" w:after="0" w:line="240" w:lineRule="auto"/>
        <w:ind w:left="360"/>
        <w:jc w:val="both"/>
        <w:rPr>
          <w:rFonts w:eastAsia="Times New Roman" w:cstheme="minorHAnsi"/>
          <w:b/>
          <w:bCs/>
          <w:color w:val="000000"/>
          <w:sz w:val="20"/>
          <w:szCs w:val="20"/>
          <w:lang w:eastAsia="fr-FR"/>
        </w:rPr>
      </w:pPr>
      <w:r>
        <w:rPr>
          <w:rFonts w:cstheme="minorHAnsi"/>
          <w:b/>
          <w:bCs/>
        </w:rPr>
        <w:t>……………………………………………………………………………………………………………………………………………………………………………………………………………………………………………………………………………………………………</w:t>
      </w:r>
    </w:p>
    <w:p>
      <w:pPr>
        <w:spacing w:before="100" w:beforeAutospacing="1" w:after="0" w:line="240" w:lineRule="auto"/>
        <w:jc w:val="both"/>
        <w:rPr>
          <w:rFonts w:eastAsia="Times New Roman" w:cstheme="minorHAnsi"/>
          <w:color w:val="000000"/>
          <w:sz w:val="20"/>
          <w:szCs w:val="20"/>
          <w:lang w:eastAsia="fr-FR"/>
        </w:rPr>
      </w:pPr>
    </w:p>
    <w:p>
      <w:pPr>
        <w:pStyle w:val="Paragraphedeliste"/>
        <w:numPr>
          <w:ilvl w:val="0"/>
          <w:numId w:val="16"/>
        </w:numPr>
        <w:spacing w:after="0"/>
        <w:jc w:val="both"/>
        <w:rPr>
          <w:rFonts w:eastAsia="Times New Roman" w:cstheme="minorHAnsi"/>
          <w:color w:val="000000"/>
          <w:lang w:eastAsia="fr-FR"/>
        </w:rPr>
      </w:pPr>
      <w:r>
        <w:rPr>
          <w:rFonts w:eastAsia="Times New Roman" w:cstheme="minorHAnsi"/>
          <w:color w:val="000000"/>
          <w:lang w:eastAsia="fr-FR"/>
        </w:rPr>
        <w:t>Plan d’assurance qualité (PAQ) et plan d’assurance sécurité (PAS)</w:t>
      </w:r>
    </w:p>
    <w:p>
      <w:pPr>
        <w:pStyle w:val="Paragraphedeliste"/>
        <w:numPr>
          <w:ilvl w:val="0"/>
          <w:numId w:val="18"/>
        </w:numPr>
        <w:spacing w:after="0"/>
        <w:jc w:val="both"/>
        <w:rPr>
          <w:rFonts w:eastAsia="Times New Roman" w:cstheme="minorHAnsi"/>
          <w:color w:val="000000"/>
          <w:lang w:eastAsia="fr-FR"/>
        </w:rPr>
      </w:pPr>
      <w:r>
        <w:rPr>
          <w:rFonts w:eastAsia="Times New Roman" w:cstheme="minorHAnsi"/>
          <w:color w:val="000000"/>
          <w:lang w:eastAsia="fr-FR"/>
        </w:rPr>
        <w:t>Le plan de sauvegarde en place et les garanties en termes de récupération de données.</w:t>
      </w:r>
    </w:p>
    <w:p>
      <w:pPr>
        <w:pStyle w:val="Paragraphedeliste"/>
        <w:numPr>
          <w:ilvl w:val="0"/>
          <w:numId w:val="18"/>
        </w:numPr>
        <w:spacing w:after="0"/>
        <w:jc w:val="both"/>
        <w:rPr>
          <w:rFonts w:eastAsia="Times New Roman" w:cstheme="minorHAnsi"/>
          <w:color w:val="000000"/>
          <w:lang w:eastAsia="fr-FR"/>
        </w:rPr>
      </w:pPr>
      <w:r>
        <w:rPr>
          <w:rFonts w:eastAsia="Times New Roman" w:cstheme="minorHAnsi"/>
          <w:color w:val="000000"/>
          <w:lang w:eastAsia="fr-FR"/>
        </w:rPr>
        <w:t>La politique antivirale appliquée sur le système d’information (postes de travail des exploitants notamment). Les solutions antivirales devront reposer sur au moins une des solutions suivantes : Trend Micro ; F-Secure ; ESET ; Microsoft Defender.</w:t>
      </w:r>
    </w:p>
    <w:p>
      <w:pPr>
        <w:pStyle w:val="Paragraphedeliste"/>
        <w:numPr>
          <w:ilvl w:val="0"/>
          <w:numId w:val="18"/>
        </w:numPr>
        <w:spacing w:after="0"/>
        <w:jc w:val="both"/>
        <w:rPr>
          <w:rFonts w:eastAsia="Times New Roman" w:cstheme="minorHAnsi"/>
          <w:color w:val="000000"/>
          <w:lang w:eastAsia="fr-FR"/>
        </w:rPr>
      </w:pPr>
      <w:r>
        <w:rPr>
          <w:rFonts w:eastAsia="Times New Roman" w:cstheme="minorHAnsi"/>
          <w:color w:val="000000"/>
          <w:lang w:eastAsia="fr-FR"/>
        </w:rPr>
        <w:t>Les normes d’accès au système par le personnel effectuant la télémaintenance des bornes et l’administration de son SI : contrainte sur les mots-de-passe (longueurs, fréquence de changement et autres règles), accès depuis des postes dédiés ou bureautiques …</w:t>
      </w:r>
    </w:p>
    <w:p>
      <w:pPr>
        <w:pStyle w:val="Paragraphedeliste"/>
        <w:numPr>
          <w:ilvl w:val="0"/>
          <w:numId w:val="18"/>
        </w:numPr>
        <w:spacing w:after="0"/>
        <w:jc w:val="both"/>
        <w:rPr>
          <w:rFonts w:eastAsia="Times New Roman" w:cstheme="minorHAnsi"/>
          <w:color w:val="000000"/>
          <w:lang w:eastAsia="fr-FR"/>
        </w:rPr>
      </w:pPr>
      <w:r>
        <w:rPr>
          <w:rFonts w:eastAsia="Times New Roman" w:cstheme="minorHAnsi"/>
          <w:color w:val="000000"/>
          <w:lang w:eastAsia="fr-FR"/>
        </w:rPr>
        <w:t xml:space="preserve">Le plan de maintien en condition de sécurité de son SI (bornes mais aussi système de supervision, site bénéficiaires et clients, application. Procédure de certification avant déploiement). </w:t>
      </w:r>
    </w:p>
    <w:p>
      <w:pPr>
        <w:pStyle w:val="Paragraphedeliste"/>
        <w:numPr>
          <w:ilvl w:val="0"/>
          <w:numId w:val="18"/>
        </w:numPr>
        <w:spacing w:after="0"/>
        <w:jc w:val="both"/>
        <w:rPr>
          <w:rFonts w:eastAsia="Times New Roman" w:cstheme="minorHAnsi"/>
          <w:color w:val="000000"/>
          <w:lang w:eastAsia="fr-FR"/>
        </w:rPr>
      </w:pPr>
      <w:r>
        <w:rPr>
          <w:rFonts w:eastAsia="Times New Roman" w:cstheme="minorHAnsi"/>
          <w:color w:val="000000"/>
          <w:lang w:eastAsia="fr-FR"/>
        </w:rPr>
        <w:t>la présence ou non d’un PRA / PCA.</w:t>
      </w:r>
    </w:p>
    <w:p>
      <w:pPr>
        <w:spacing w:after="0"/>
        <w:jc w:val="both"/>
        <w:rPr>
          <w:rFonts w:eastAsia="Times New Roman" w:cstheme="minorHAnsi"/>
          <w:color w:val="000000"/>
          <w:lang w:eastAsia="fr-FR"/>
        </w:rPr>
      </w:pPr>
      <w:r>
        <w:rPr>
          <w:rFonts w:eastAsia="Times New Roman" w:cstheme="minorHAnsi"/>
          <w:color w:val="000000"/>
          <w:lang w:eastAsia="fr-FR"/>
        </w:rPr>
        <w:lastRenderedPageBreak/>
        <w:t>Le candidat précise le recours ou non à un Centre des Opération de Sécurité (SOC) et/ou à des logiciels de type SIEM.</w:t>
      </w:r>
    </w:p>
    <w:p>
      <w:pPr>
        <w:spacing w:after="0"/>
        <w:ind w:left="426"/>
        <w:jc w:val="both"/>
        <w:rPr>
          <w:rFonts w:cstheme="minorHAnsi"/>
          <w:b/>
          <w:bCs/>
        </w:rPr>
      </w:pPr>
      <w:r>
        <w:rPr>
          <w:rFonts w:cstheme="minorHAnsi"/>
          <w:b/>
          <w:bCs/>
        </w:rPr>
        <w:t>……………………………………………………………………………………………………………………………………………………………………………………………………………………………………………………………………………………………………</w:t>
      </w:r>
    </w:p>
    <w:p>
      <w:pPr>
        <w:spacing w:after="0"/>
        <w:jc w:val="both"/>
        <w:rPr>
          <w:rFonts w:cstheme="minorHAnsi"/>
          <w:b/>
          <w:bCs/>
        </w:rPr>
      </w:pPr>
    </w:p>
    <w:p>
      <w:pPr>
        <w:pStyle w:val="Paragraphedeliste"/>
        <w:numPr>
          <w:ilvl w:val="0"/>
          <w:numId w:val="16"/>
        </w:numPr>
        <w:spacing w:after="0"/>
        <w:jc w:val="both"/>
        <w:rPr>
          <w:rFonts w:eastAsia="Times New Roman" w:cstheme="minorHAnsi"/>
          <w:color w:val="000000"/>
          <w:lang w:eastAsia="fr-FR"/>
        </w:rPr>
      </w:pPr>
      <w:r>
        <w:rPr>
          <w:rFonts w:eastAsia="Times New Roman" w:cstheme="minorHAnsi"/>
          <w:color w:val="000000"/>
          <w:lang w:eastAsia="fr-FR"/>
        </w:rPr>
        <w:t xml:space="preserve">Le candidat fait état des derniers audits de sécurité effectués (système audité, type d’audit et date), et le cas échéant renseigne les certifications obtenues. </w:t>
      </w:r>
    </w:p>
    <w:p>
      <w:pPr>
        <w:spacing w:after="0"/>
        <w:ind w:left="360"/>
        <w:jc w:val="both"/>
        <w:rPr>
          <w:rFonts w:cstheme="minorHAnsi"/>
          <w:b/>
          <w:bCs/>
        </w:rPr>
      </w:pPr>
      <w:r>
        <w:rPr>
          <w:rFonts w:cstheme="minorHAnsi"/>
          <w:b/>
          <w:bCs/>
        </w:rPr>
        <w:t>……………………………………………………………………………………………………………………………………………………………………………………………………………………………………………………………………………………………………</w:t>
      </w:r>
    </w:p>
    <w:p>
      <w:pPr>
        <w:pStyle w:val="Paragraphedeliste"/>
        <w:numPr>
          <w:ilvl w:val="0"/>
          <w:numId w:val="6"/>
        </w:numPr>
        <w:spacing w:before="100" w:beforeAutospacing="1" w:after="0" w:line="240" w:lineRule="auto"/>
        <w:jc w:val="both"/>
        <w:rPr>
          <w:rFonts w:eastAsia="Times New Roman" w:cstheme="minorHAnsi"/>
          <w:color w:val="000000"/>
          <w:lang w:eastAsia="fr-FR"/>
        </w:rPr>
      </w:pPr>
      <w:r>
        <w:rPr>
          <w:rFonts w:eastAsia="Times New Roman" w:cstheme="minorHAnsi"/>
          <w:color w:val="000000"/>
          <w:lang w:eastAsia="fr-FR"/>
        </w:rPr>
        <w:t>Présentation de l’organisation permettant le maintien du service en 24/7</w:t>
      </w:r>
    </w:p>
    <w:p>
      <w:pPr>
        <w:spacing w:after="0"/>
        <w:ind w:left="360"/>
        <w:jc w:val="both"/>
        <w:rPr>
          <w:rFonts w:cstheme="minorHAnsi"/>
          <w:b/>
          <w:bCs/>
        </w:rPr>
      </w:pPr>
      <w:r>
        <w:rPr>
          <w:rFonts w:cstheme="minorHAnsi"/>
          <w:b/>
          <w:bCs/>
        </w:rPr>
        <w:t>……………………………………………………………………………………………………………………………………………………………………………………………………………………………………………………………………………………………………</w:t>
      </w:r>
    </w:p>
    <w:p>
      <w:pPr>
        <w:pStyle w:val="Paragraphedeliste"/>
        <w:numPr>
          <w:ilvl w:val="0"/>
          <w:numId w:val="6"/>
        </w:numPr>
        <w:spacing w:before="100" w:beforeAutospacing="1" w:after="0" w:line="240" w:lineRule="auto"/>
        <w:jc w:val="both"/>
        <w:rPr>
          <w:rFonts w:eastAsia="Times New Roman" w:cstheme="minorHAnsi"/>
          <w:color w:val="000000"/>
          <w:lang w:eastAsia="fr-FR"/>
        </w:rPr>
      </w:pPr>
      <w:r>
        <w:rPr>
          <w:rFonts w:eastAsia="Times New Roman" w:cstheme="minorHAnsi"/>
          <w:color w:val="000000"/>
          <w:lang w:eastAsia="fr-FR"/>
        </w:rPr>
        <w:t>Description du plan de sauvegarde et de restauration des données et les PCA des centres d’hébergement et d’intervenants</w:t>
      </w:r>
    </w:p>
    <w:p>
      <w:pPr>
        <w:spacing w:after="0"/>
        <w:ind w:left="360"/>
        <w:jc w:val="both"/>
        <w:rPr>
          <w:rFonts w:cstheme="minorHAnsi"/>
          <w:b/>
          <w:bCs/>
        </w:rPr>
      </w:pPr>
      <w:r>
        <w:rPr>
          <w:rFonts w:cstheme="minorHAnsi"/>
          <w:b/>
          <w:bCs/>
        </w:rPr>
        <w:t>……………………………………………………………………………………………………………………………………………………………………………………………………………………………………………………………………………………………………</w:t>
      </w:r>
    </w:p>
    <w:p>
      <w:pPr>
        <w:spacing w:after="0"/>
        <w:ind w:left="360"/>
        <w:jc w:val="both"/>
        <w:rPr>
          <w:rFonts w:cstheme="minorHAnsi"/>
          <w:b/>
          <w:bCs/>
        </w:rPr>
      </w:pPr>
    </w:p>
    <w:p>
      <w:pPr>
        <w:spacing w:before="100" w:beforeAutospacing="1" w:after="0" w:line="240" w:lineRule="auto"/>
        <w:jc w:val="both"/>
        <w:rPr>
          <w:rFonts w:cstheme="minorHAnsi"/>
          <w:b/>
          <w:bCs/>
          <w:u w:val="single"/>
        </w:rPr>
      </w:pPr>
      <w:r>
        <w:rPr>
          <w:rFonts w:eastAsia="Times New Roman" w:cstheme="minorHAnsi"/>
          <w:b/>
          <w:bCs/>
          <w:color w:val="000000"/>
          <w:u w:val="single"/>
          <w:lang w:eastAsia="fr-FR"/>
        </w:rPr>
        <w:t>Sous-critère 2 :</w:t>
      </w:r>
      <w:r>
        <w:rPr>
          <w:rFonts w:eastAsia="Times New Roman" w:cstheme="minorHAnsi"/>
          <w:color w:val="000000"/>
          <w:u w:val="single"/>
          <w:lang w:eastAsia="fr-FR"/>
        </w:rPr>
        <w:t xml:space="preserve"> </w:t>
      </w:r>
      <w:r>
        <w:rPr>
          <w:rFonts w:cstheme="minorHAnsi"/>
          <w:b/>
          <w:bCs/>
          <w:sz w:val="24"/>
          <w:szCs w:val="24"/>
          <w:u w:val="single"/>
        </w:rPr>
        <w:t xml:space="preserve"> </w:t>
      </w:r>
      <w:r>
        <w:rPr>
          <w:rFonts w:cstheme="minorHAnsi"/>
          <w:b/>
          <w:bCs/>
          <w:u w:val="single"/>
        </w:rPr>
        <w:t>Pertinence des compétences et de l’organisation de l’équipe dédiés à la réalisation et au pilotage des prestations- 10%</w:t>
      </w:r>
    </w:p>
    <w:p>
      <w:pPr>
        <w:spacing w:before="100" w:beforeAutospacing="1" w:after="0" w:line="240" w:lineRule="auto"/>
        <w:jc w:val="both"/>
        <w:rPr>
          <w:rFonts w:cstheme="minorHAnsi"/>
          <w:b/>
          <w:bCs/>
        </w:rPr>
      </w:pPr>
    </w:p>
    <w:p>
      <w:pPr>
        <w:spacing w:after="0" w:line="240" w:lineRule="auto"/>
        <w:jc w:val="both"/>
        <w:rPr>
          <w:rFonts w:cstheme="minorHAnsi"/>
          <w:b/>
          <w:bCs/>
        </w:rPr>
      </w:pPr>
      <w:r>
        <w:rPr>
          <w:rFonts w:cstheme="minorHAnsi"/>
          <w:b/>
          <w:bCs/>
        </w:rPr>
        <w:t xml:space="preserve">Dans le sous-critère 2 sera jugé : </w:t>
      </w:r>
    </w:p>
    <w:p>
      <w:pPr>
        <w:spacing w:after="0"/>
        <w:jc w:val="both"/>
        <w:rPr>
          <w:rFonts w:cstheme="minorHAnsi"/>
          <w:u w:val="single"/>
        </w:rPr>
      </w:pPr>
    </w:p>
    <w:p>
      <w:pPr>
        <w:spacing w:after="0"/>
        <w:jc w:val="both"/>
        <w:rPr>
          <w:rFonts w:cstheme="minorHAnsi"/>
          <w:i/>
          <w:iCs/>
        </w:rPr>
      </w:pPr>
      <w:bookmarkStart w:id="3" w:name="_Hlk179469798"/>
      <w:r>
        <w:rPr>
          <w:rFonts w:eastAsia="Times New Roman" w:cstheme="minorHAnsi"/>
          <w:lang w:eastAsia="fr-FR"/>
        </w:rPr>
        <w:t xml:space="preserve">- Décrire l’organisation mise en place dans le cadre du suivi de l’accord-cadre ; en précisant le nombre de personnes, leur niveau d’expérience ainsi que leur qualification permettant d’apprécier la qualité de la coordination des prestations au niveau régional avec les services bénéficiaires et du suivi d’exécution des prestations auprès de l’acheteur. </w:t>
      </w:r>
      <w:r>
        <w:rPr>
          <w:rFonts w:cstheme="minorHAnsi"/>
        </w:rPr>
        <w:t xml:space="preserve">Joindre les curriculums vitae et tous les documents nécessaires pour justifier les références des personnels d’encadrements des équipes réalisant le pilotage des prestations. </w:t>
      </w:r>
      <w:r>
        <w:rPr>
          <w:rFonts w:cstheme="minorHAnsi"/>
          <w:i/>
          <w:iCs/>
        </w:rPr>
        <w:t>(Le candidat se limitera à 3 missions pour chaque intervenant, parmi celles réalisées au cours des 3 dernières années)</w:t>
      </w:r>
    </w:p>
    <w:p>
      <w:pPr>
        <w:spacing w:after="0"/>
        <w:jc w:val="both"/>
        <w:rPr>
          <w:rFonts w:cstheme="minorHAnsi"/>
          <w:b/>
          <w:bCs/>
        </w:rPr>
      </w:pPr>
      <w:r>
        <w:rPr>
          <w:rFonts w:cstheme="minorHAnsi"/>
          <w:b/>
          <w:bCs/>
        </w:rPr>
        <w:t>……………………………………………………………………………………………………………………………………………………………………………………………………………………………………………………………………………………………………</w:t>
      </w:r>
    </w:p>
    <w:p>
      <w:pPr>
        <w:spacing w:after="0"/>
        <w:jc w:val="both"/>
        <w:rPr>
          <w:rFonts w:cstheme="minorHAnsi"/>
          <w:i/>
          <w:iCs/>
        </w:rPr>
      </w:pPr>
    </w:p>
    <w:p>
      <w:pPr>
        <w:spacing w:after="0"/>
        <w:jc w:val="both"/>
        <w:rPr>
          <w:rFonts w:cstheme="minorHAnsi"/>
        </w:rPr>
      </w:pPr>
      <w:r>
        <w:rPr>
          <w:rFonts w:cstheme="minorHAnsi"/>
          <w:i/>
          <w:iCs/>
        </w:rPr>
        <w:t xml:space="preserve">- </w:t>
      </w:r>
      <w:r>
        <w:rPr>
          <w:rFonts w:cstheme="minorHAnsi"/>
        </w:rPr>
        <w:t xml:space="preserve"> Pour chaque type de prestations techniques, le candidat décrit l’organisation qu’il met en œuvre pour garantir une couverture territoriale efficace (maillage territorial) adaptée aux besoins du marché. Il présente le niveau d'expérience des salariés impliqués, leur expertise dans des projets similaire et leur ancienneté au sein de l’entreprise. </w:t>
      </w:r>
    </w:p>
    <w:p>
      <w:pPr>
        <w:spacing w:after="0"/>
        <w:jc w:val="both"/>
        <w:rPr>
          <w:rFonts w:eastAsia="Times New Roman" w:cstheme="minorHAnsi"/>
          <w:lang w:eastAsia="fr-FR"/>
        </w:rPr>
      </w:pPr>
    </w:p>
    <w:bookmarkEnd w:id="3"/>
    <w:p>
      <w:pPr>
        <w:spacing w:after="0"/>
        <w:jc w:val="both"/>
        <w:rPr>
          <w:rFonts w:cstheme="minorHAnsi"/>
          <w:b/>
          <w:bCs/>
        </w:rPr>
      </w:pPr>
      <w:r>
        <w:rPr>
          <w:rFonts w:cstheme="minorHAnsi"/>
          <w:b/>
          <w:bCs/>
        </w:rPr>
        <w:t>……………………………………………………………………………………………………………………………………………………………………………………………………………………………………………………………………………………………………</w:t>
      </w:r>
    </w:p>
    <w:p>
      <w:pPr>
        <w:spacing w:after="0"/>
        <w:jc w:val="both"/>
        <w:rPr>
          <w:rFonts w:cstheme="minorHAnsi"/>
        </w:rPr>
      </w:pPr>
    </w:p>
    <w:p>
      <w:pPr>
        <w:spacing w:after="0"/>
        <w:ind w:left="360"/>
        <w:jc w:val="both"/>
        <w:rPr>
          <w:rFonts w:cstheme="minorHAnsi"/>
        </w:rPr>
      </w:pPr>
    </w:p>
    <w:p>
      <w:pPr>
        <w:pStyle w:val="Paragraphedeliste"/>
        <w:numPr>
          <w:ilvl w:val="0"/>
          <w:numId w:val="6"/>
        </w:numPr>
        <w:spacing w:after="0"/>
        <w:jc w:val="both"/>
        <w:rPr>
          <w:rFonts w:cstheme="minorHAnsi"/>
        </w:rPr>
      </w:pPr>
      <w:r>
        <w:rPr>
          <w:rFonts w:cstheme="minorHAnsi"/>
        </w:rPr>
        <w:t>Mentionnez les formations continues suivies par les équipes pour maintenir et développer leurs compétences</w:t>
      </w:r>
    </w:p>
    <w:p>
      <w:pPr>
        <w:spacing w:after="0"/>
        <w:jc w:val="both"/>
        <w:rPr>
          <w:rFonts w:cstheme="minorHAnsi"/>
          <w:b/>
          <w:bCs/>
        </w:rPr>
      </w:pPr>
      <w:r>
        <w:rPr>
          <w:rFonts w:cstheme="minorHAnsi"/>
          <w:b/>
          <w:bCs/>
        </w:rPr>
        <w:t>……………………………………………………………………………………………………………………………………………………………………………………………………………………………………………………………………………………………………</w:t>
      </w:r>
    </w:p>
    <w:p>
      <w:pPr>
        <w:spacing w:after="0" w:line="240" w:lineRule="auto"/>
        <w:jc w:val="both"/>
        <w:rPr>
          <w:rFonts w:eastAsia="Andale Sans UI" w:cstheme="minorHAnsi"/>
          <w:b/>
          <w:bCs/>
          <w:iCs/>
          <w:sz w:val="20"/>
          <w:szCs w:val="24"/>
          <w:u w:val="single"/>
          <w:lang w:eastAsia="ja-JP" w:bidi="fa-IR"/>
        </w:rPr>
      </w:pPr>
      <w:r>
        <w:rPr>
          <w:rFonts w:cstheme="minorHAnsi"/>
          <w:b/>
          <w:bCs/>
          <w:u w:val="single"/>
        </w:rPr>
        <w:lastRenderedPageBreak/>
        <w:t xml:space="preserve">Critère 2 - </w:t>
      </w:r>
      <w:r>
        <w:rPr>
          <w:rFonts w:eastAsia="Andale Sans UI" w:cstheme="minorHAnsi"/>
          <w:b/>
          <w:bCs/>
          <w:iCs/>
          <w:sz w:val="20"/>
          <w:szCs w:val="24"/>
          <w:u w:val="single"/>
          <w:lang w:eastAsia="ja-JP" w:bidi="fa-IR"/>
        </w:rPr>
        <w:t>Dispositions prises pour le réemploi, le recyclage et le traitement des déchets – 10%</w:t>
      </w:r>
    </w:p>
    <w:p>
      <w:pPr>
        <w:spacing w:after="0"/>
        <w:jc w:val="both"/>
        <w:rPr>
          <w:rFonts w:cstheme="minorHAnsi"/>
        </w:rPr>
      </w:pPr>
    </w:p>
    <w:p>
      <w:pPr>
        <w:pStyle w:val="Paragraphedeliste"/>
        <w:widowControl w:val="0"/>
        <w:numPr>
          <w:ilvl w:val="0"/>
          <w:numId w:val="13"/>
        </w:numPr>
        <w:suppressAutoHyphens/>
        <w:autoSpaceDN w:val="0"/>
        <w:spacing w:before="124" w:after="0" w:line="338" w:lineRule="auto"/>
        <w:ind w:right="-29"/>
        <w:jc w:val="both"/>
        <w:textAlignment w:val="baseline"/>
        <w:rPr>
          <w:rFonts w:eastAsia="Times New Roman" w:cstheme="minorHAnsi"/>
          <w:szCs w:val="24"/>
          <w:lang w:eastAsia="fr-FR"/>
        </w:rPr>
      </w:pPr>
      <w:r>
        <w:rPr>
          <w:rFonts w:eastAsia="Times New Roman" w:cstheme="minorHAnsi"/>
          <w:szCs w:val="24"/>
          <w:lang w:eastAsia="fr-FR"/>
        </w:rPr>
        <w:t>Le candidat décrit les démarches qu’il a mis en œuvre pour favoriser le réemploi ou la réutilisation des produits déposés (décrire les produits, matériels et équipements concernés ainsi que les processus mis en œuvre)</w:t>
      </w:r>
    </w:p>
    <w:p>
      <w:pPr>
        <w:spacing w:after="0"/>
        <w:jc w:val="both"/>
        <w:rPr>
          <w:rFonts w:cstheme="minorHAnsi"/>
        </w:rPr>
      </w:pPr>
    </w:p>
    <w:p>
      <w:pPr>
        <w:spacing w:after="0"/>
        <w:ind w:left="360"/>
        <w:jc w:val="both"/>
        <w:rPr>
          <w:rFonts w:cstheme="minorHAnsi"/>
          <w:b/>
          <w:bCs/>
        </w:rPr>
      </w:pPr>
      <w:r>
        <w:rPr>
          <w:rFonts w:cstheme="minorHAnsi"/>
          <w:b/>
          <w:bCs/>
        </w:rPr>
        <w:t>……………………………………………………………………………………………………………………………………………………………………………………………………………………………………………………………………………………………………</w:t>
      </w:r>
    </w:p>
    <w:p>
      <w:pPr>
        <w:widowControl w:val="0"/>
        <w:suppressAutoHyphens/>
        <w:autoSpaceDN w:val="0"/>
        <w:spacing w:before="124" w:after="0" w:line="338" w:lineRule="auto"/>
        <w:ind w:right="-29"/>
        <w:contextualSpacing/>
        <w:jc w:val="both"/>
        <w:textAlignment w:val="baseline"/>
        <w:rPr>
          <w:rFonts w:eastAsia="Times New Roman" w:cstheme="minorHAnsi"/>
          <w:b/>
          <w:bCs/>
          <w:szCs w:val="24"/>
          <w:lang w:eastAsia="fr-FR"/>
        </w:rPr>
      </w:pPr>
    </w:p>
    <w:p>
      <w:pPr>
        <w:pStyle w:val="Paragraphedeliste"/>
        <w:widowControl w:val="0"/>
        <w:numPr>
          <w:ilvl w:val="0"/>
          <w:numId w:val="13"/>
        </w:numPr>
        <w:suppressAutoHyphens/>
        <w:autoSpaceDN w:val="0"/>
        <w:spacing w:before="124" w:after="0" w:line="338" w:lineRule="auto"/>
        <w:ind w:right="-29"/>
        <w:jc w:val="both"/>
        <w:textAlignment w:val="baseline"/>
        <w:rPr>
          <w:rFonts w:eastAsia="Calibri" w:cstheme="minorHAnsi"/>
        </w:rPr>
      </w:pPr>
      <w:r>
        <w:rPr>
          <w:rFonts w:eastAsia="Times New Roman" w:cstheme="minorHAnsi"/>
          <w:szCs w:val="24"/>
          <w:lang w:eastAsia="fr-FR"/>
        </w:rPr>
        <w:t>Le candidat décrit les démarches qu’il a mis en œuvre pour réduire la production de déchets ultimes (préciser les modalités de traitement par type de déchets : par exemple recyclage, valorisation énergétique)</w:t>
      </w:r>
    </w:p>
    <w:p>
      <w:pPr>
        <w:spacing w:after="0"/>
        <w:ind w:left="360"/>
        <w:jc w:val="both"/>
        <w:rPr>
          <w:rFonts w:cstheme="minorHAnsi"/>
        </w:rPr>
      </w:pPr>
    </w:p>
    <w:p>
      <w:pPr>
        <w:spacing w:after="0"/>
        <w:ind w:left="360"/>
        <w:jc w:val="both"/>
        <w:rPr>
          <w:rFonts w:cstheme="minorHAnsi"/>
          <w:b/>
          <w:bCs/>
        </w:rPr>
      </w:pPr>
      <w:r>
        <w:rPr>
          <w:rFonts w:cstheme="minorHAnsi"/>
          <w:b/>
          <w:bCs/>
        </w:rPr>
        <w:t>……………………………………………………………………………………………………………………………………………………………………………………………………………………………………………………………………………………………………</w:t>
      </w:r>
    </w:p>
    <w:p>
      <w:pPr>
        <w:spacing w:after="0" w:line="240" w:lineRule="auto"/>
        <w:jc w:val="both"/>
        <w:rPr>
          <w:rFonts w:cstheme="minorHAnsi"/>
          <w:b/>
          <w:bCs/>
          <w:u w:val="single"/>
        </w:rPr>
      </w:pPr>
    </w:p>
    <w:sectPr>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Andale Sans U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r>
      <w:t>--------------------------------------------------------------------------------------------------------------------------------------</w:t>
    </w:r>
  </w:p>
  <w:p>
    <w:pPr>
      <w:pStyle w:val="Pieddepage"/>
    </w:pPr>
    <w:r>
      <w:t>RC_N°DAE_IRVE_2024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6A26"/>
    <w:multiLevelType w:val="hybridMultilevel"/>
    <w:tmpl w:val="07021D80"/>
    <w:lvl w:ilvl="0" w:tplc="CC1867B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B619B8"/>
    <w:multiLevelType w:val="hybridMultilevel"/>
    <w:tmpl w:val="D81888B0"/>
    <w:lvl w:ilvl="0" w:tplc="04048FC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1DE6937"/>
    <w:multiLevelType w:val="hybridMultilevel"/>
    <w:tmpl w:val="7DDCC962"/>
    <w:lvl w:ilvl="0" w:tplc="CEA882DA">
      <w:start w:val="1"/>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AA41083"/>
    <w:multiLevelType w:val="hybridMultilevel"/>
    <w:tmpl w:val="3EBAC786"/>
    <w:lvl w:ilvl="0" w:tplc="CC1867B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2125EC"/>
    <w:multiLevelType w:val="hybridMultilevel"/>
    <w:tmpl w:val="ED3E0E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3C133E7"/>
    <w:multiLevelType w:val="hybridMultilevel"/>
    <w:tmpl w:val="9F04F71E"/>
    <w:lvl w:ilvl="0" w:tplc="CC1867B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A296590"/>
    <w:multiLevelType w:val="hybridMultilevel"/>
    <w:tmpl w:val="0FC425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DE377EA"/>
    <w:multiLevelType w:val="hybridMultilevel"/>
    <w:tmpl w:val="60B207D8"/>
    <w:lvl w:ilvl="0" w:tplc="9450665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265EFE"/>
    <w:multiLevelType w:val="hybridMultilevel"/>
    <w:tmpl w:val="09685DB0"/>
    <w:lvl w:ilvl="0" w:tplc="CC1867B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6B263B4"/>
    <w:multiLevelType w:val="hybridMultilevel"/>
    <w:tmpl w:val="2EBC2B7E"/>
    <w:lvl w:ilvl="0" w:tplc="552A8D38">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8ED754A"/>
    <w:multiLevelType w:val="hybridMultilevel"/>
    <w:tmpl w:val="FA70570E"/>
    <w:lvl w:ilvl="0" w:tplc="66E03B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16560C"/>
    <w:multiLevelType w:val="hybridMultilevel"/>
    <w:tmpl w:val="D2BC1114"/>
    <w:lvl w:ilvl="0" w:tplc="E90882AE">
      <w:start w:val="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23E57CA"/>
    <w:multiLevelType w:val="hybridMultilevel"/>
    <w:tmpl w:val="43EACE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863338"/>
    <w:multiLevelType w:val="multilevel"/>
    <w:tmpl w:val="49D60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0C338C"/>
    <w:multiLevelType w:val="multilevel"/>
    <w:tmpl w:val="2C10F14A"/>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8B4198D"/>
    <w:multiLevelType w:val="hybridMultilevel"/>
    <w:tmpl w:val="50B0FEDA"/>
    <w:lvl w:ilvl="0" w:tplc="CC1867B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DBB6040"/>
    <w:multiLevelType w:val="hybridMultilevel"/>
    <w:tmpl w:val="81B8CF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E6F6C4E"/>
    <w:multiLevelType w:val="multilevel"/>
    <w:tmpl w:val="7BCCD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8117FE"/>
    <w:multiLevelType w:val="hybridMultilevel"/>
    <w:tmpl w:val="4320751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7C3B42C0"/>
    <w:multiLevelType w:val="hybridMultilevel"/>
    <w:tmpl w:val="E6B069A2"/>
    <w:lvl w:ilvl="0" w:tplc="875EBA2E">
      <w:start w:val="350"/>
      <w:numFmt w:val="bullet"/>
      <w:lvlText w:val=""/>
      <w:lvlJc w:val="left"/>
      <w:pPr>
        <w:ind w:left="1080" w:hanging="360"/>
      </w:pPr>
      <w:rPr>
        <w:rFonts w:ascii="Symbol" w:eastAsia="Times New Roman" w:hAnsi="Symbol" w:cs="Arial" w:hint="default"/>
        <w:color w:val="000000"/>
        <w:sz w:val="2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7D697DE0"/>
    <w:multiLevelType w:val="hybridMultilevel"/>
    <w:tmpl w:val="7AAC7890"/>
    <w:lvl w:ilvl="0" w:tplc="0B229D6A">
      <w:numFmt w:val="bullet"/>
      <w:lvlText w:val="-"/>
      <w:lvlJc w:val="left"/>
      <w:pPr>
        <w:ind w:left="720" w:hanging="360"/>
      </w:pPr>
      <w:rPr>
        <w:rFonts w:ascii="Calibri" w:eastAsiaTheme="minorHAnsi" w:hAnsi="Calibri"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
  </w:num>
  <w:num w:numId="4">
    <w:abstractNumId w:val="12"/>
  </w:num>
  <w:num w:numId="5">
    <w:abstractNumId w:val="20"/>
  </w:num>
  <w:num w:numId="6">
    <w:abstractNumId w:val="15"/>
  </w:num>
  <w:num w:numId="7">
    <w:abstractNumId w:val="14"/>
  </w:num>
  <w:num w:numId="8">
    <w:abstractNumId w:val="17"/>
  </w:num>
  <w:num w:numId="9">
    <w:abstractNumId w:val="13"/>
  </w:num>
  <w:num w:numId="10">
    <w:abstractNumId w:val="4"/>
  </w:num>
  <w:num w:numId="11">
    <w:abstractNumId w:val="19"/>
  </w:num>
  <w:num w:numId="12">
    <w:abstractNumId w:val="13"/>
  </w:num>
  <w:num w:numId="13">
    <w:abstractNumId w:val="2"/>
  </w:num>
  <w:num w:numId="14">
    <w:abstractNumId w:val="18"/>
  </w:num>
  <w:num w:numId="15">
    <w:abstractNumId w:val="11"/>
  </w:num>
  <w:num w:numId="16">
    <w:abstractNumId w:val="9"/>
  </w:num>
  <w:num w:numId="17">
    <w:abstractNumId w:val="6"/>
  </w:num>
  <w:num w:numId="18">
    <w:abstractNumId w:val="16"/>
  </w:num>
  <w:num w:numId="19">
    <w:abstractNumId w:val="5"/>
  </w:num>
  <w:num w:numId="20">
    <w:abstractNumId w:val="8"/>
  </w:num>
  <w:num w:numId="21">
    <w:abstractNumId w:val="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0330FF-F403-42FD-AC21-2FF3CA098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contextualSpacing/>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R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847147">
      <w:bodyDiv w:val="1"/>
      <w:marLeft w:val="0"/>
      <w:marRight w:val="0"/>
      <w:marTop w:val="0"/>
      <w:marBottom w:val="0"/>
      <w:divBdr>
        <w:top w:val="none" w:sz="0" w:space="0" w:color="auto"/>
        <w:left w:val="none" w:sz="0" w:space="0" w:color="auto"/>
        <w:bottom w:val="none" w:sz="0" w:space="0" w:color="auto"/>
        <w:right w:val="none" w:sz="0" w:space="0" w:color="auto"/>
      </w:divBdr>
    </w:div>
    <w:div w:id="879898666">
      <w:bodyDiv w:val="1"/>
      <w:marLeft w:val="0"/>
      <w:marRight w:val="0"/>
      <w:marTop w:val="0"/>
      <w:marBottom w:val="0"/>
      <w:divBdr>
        <w:top w:val="none" w:sz="0" w:space="0" w:color="auto"/>
        <w:left w:val="none" w:sz="0" w:space="0" w:color="auto"/>
        <w:bottom w:val="none" w:sz="0" w:space="0" w:color="auto"/>
        <w:right w:val="none" w:sz="0" w:space="0" w:color="auto"/>
      </w:divBdr>
    </w:div>
    <w:div w:id="900479940">
      <w:bodyDiv w:val="1"/>
      <w:marLeft w:val="0"/>
      <w:marRight w:val="0"/>
      <w:marTop w:val="0"/>
      <w:marBottom w:val="0"/>
      <w:divBdr>
        <w:top w:val="none" w:sz="0" w:space="0" w:color="auto"/>
        <w:left w:val="none" w:sz="0" w:space="0" w:color="auto"/>
        <w:bottom w:val="none" w:sz="0" w:space="0" w:color="auto"/>
        <w:right w:val="none" w:sz="0" w:space="0" w:color="auto"/>
      </w:divBdr>
    </w:div>
    <w:div w:id="1120143897">
      <w:bodyDiv w:val="1"/>
      <w:marLeft w:val="0"/>
      <w:marRight w:val="0"/>
      <w:marTop w:val="0"/>
      <w:marBottom w:val="0"/>
      <w:divBdr>
        <w:top w:val="none" w:sz="0" w:space="0" w:color="auto"/>
        <w:left w:val="none" w:sz="0" w:space="0" w:color="auto"/>
        <w:bottom w:val="none" w:sz="0" w:space="0" w:color="auto"/>
        <w:right w:val="none" w:sz="0" w:space="0" w:color="auto"/>
      </w:divBdr>
    </w:div>
    <w:div w:id="1135443104">
      <w:bodyDiv w:val="1"/>
      <w:marLeft w:val="0"/>
      <w:marRight w:val="0"/>
      <w:marTop w:val="0"/>
      <w:marBottom w:val="0"/>
      <w:divBdr>
        <w:top w:val="none" w:sz="0" w:space="0" w:color="auto"/>
        <w:left w:val="none" w:sz="0" w:space="0" w:color="auto"/>
        <w:bottom w:val="none" w:sz="0" w:space="0" w:color="auto"/>
        <w:right w:val="none" w:sz="0" w:space="0" w:color="auto"/>
      </w:divBdr>
    </w:div>
    <w:div w:id="1149784069">
      <w:bodyDiv w:val="1"/>
      <w:marLeft w:val="0"/>
      <w:marRight w:val="0"/>
      <w:marTop w:val="0"/>
      <w:marBottom w:val="0"/>
      <w:divBdr>
        <w:top w:val="none" w:sz="0" w:space="0" w:color="auto"/>
        <w:left w:val="none" w:sz="0" w:space="0" w:color="auto"/>
        <w:bottom w:val="none" w:sz="0" w:space="0" w:color="auto"/>
        <w:right w:val="none" w:sz="0" w:space="0" w:color="auto"/>
      </w:divBdr>
    </w:div>
    <w:div w:id="1556090583">
      <w:bodyDiv w:val="1"/>
      <w:marLeft w:val="0"/>
      <w:marRight w:val="0"/>
      <w:marTop w:val="0"/>
      <w:marBottom w:val="0"/>
      <w:divBdr>
        <w:top w:val="none" w:sz="0" w:space="0" w:color="auto"/>
        <w:left w:val="none" w:sz="0" w:space="0" w:color="auto"/>
        <w:bottom w:val="none" w:sz="0" w:space="0" w:color="auto"/>
        <w:right w:val="none" w:sz="0" w:space="0" w:color="auto"/>
      </w:divBdr>
    </w:div>
    <w:div w:id="1694499418">
      <w:bodyDiv w:val="1"/>
      <w:marLeft w:val="0"/>
      <w:marRight w:val="0"/>
      <w:marTop w:val="0"/>
      <w:marBottom w:val="0"/>
      <w:divBdr>
        <w:top w:val="none" w:sz="0" w:space="0" w:color="auto"/>
        <w:left w:val="none" w:sz="0" w:space="0" w:color="auto"/>
        <w:bottom w:val="none" w:sz="0" w:space="0" w:color="auto"/>
        <w:right w:val="none" w:sz="0" w:space="0" w:color="auto"/>
      </w:divBdr>
    </w:div>
    <w:div w:id="1759137319">
      <w:bodyDiv w:val="1"/>
      <w:marLeft w:val="0"/>
      <w:marRight w:val="0"/>
      <w:marTop w:val="0"/>
      <w:marBottom w:val="0"/>
      <w:divBdr>
        <w:top w:val="none" w:sz="0" w:space="0" w:color="auto"/>
        <w:left w:val="none" w:sz="0" w:space="0" w:color="auto"/>
        <w:bottom w:val="none" w:sz="0" w:space="0" w:color="auto"/>
        <w:right w:val="none" w:sz="0" w:space="0" w:color="auto"/>
      </w:divBdr>
    </w:div>
    <w:div w:id="1766874951">
      <w:bodyDiv w:val="1"/>
      <w:marLeft w:val="0"/>
      <w:marRight w:val="0"/>
      <w:marTop w:val="0"/>
      <w:marBottom w:val="0"/>
      <w:divBdr>
        <w:top w:val="none" w:sz="0" w:space="0" w:color="auto"/>
        <w:left w:val="none" w:sz="0" w:space="0" w:color="auto"/>
        <w:bottom w:val="none" w:sz="0" w:space="0" w:color="auto"/>
        <w:right w:val="none" w:sz="0" w:space="0" w:color="auto"/>
      </w:divBdr>
    </w:div>
    <w:div w:id="2061325823">
      <w:bodyDiv w:val="1"/>
      <w:marLeft w:val="0"/>
      <w:marRight w:val="0"/>
      <w:marTop w:val="0"/>
      <w:marBottom w:val="0"/>
      <w:divBdr>
        <w:top w:val="none" w:sz="0" w:space="0" w:color="auto"/>
        <w:left w:val="none" w:sz="0" w:space="0" w:color="auto"/>
        <w:bottom w:val="none" w:sz="0" w:space="0" w:color="auto"/>
        <w:right w:val="none" w:sz="0" w:space="0" w:color="auto"/>
      </w:divBdr>
    </w:div>
    <w:div w:id="213602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2F062-0FBB-42F7-8367-9BEA7966D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7</Pages>
  <Words>2060</Words>
  <Characters>11336</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Ministere Finances</Company>
  <LinksUpToDate>false</LinksUpToDate>
  <CharactersWithSpaces>13370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BASTRY Karine</dc:creator>
  <cp:keywords/>
  <dc:description/>
  <cp:lastModifiedBy>BESLOT Tiffany</cp:lastModifiedBy>
  <cp:revision>13</cp:revision>
  <dcterms:created xsi:type="dcterms:W3CDTF">2024-10-16T16:45:00Z</dcterms:created>
  <dcterms:modified xsi:type="dcterms:W3CDTF">2024-10-22T15:00:00Z</dcterms:modified>
</cp:coreProperties>
</file>